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 — Bioreactor Harvest and Cell Culture Quality Assessment</w:t>
      </w:r>
    </w:p>
    <w:p>
      <w:r>
        <w:t>SOP-BH-2024-007 | Version 2.1 | Effective: 15-Feb-2025 | Next Review: 15-Feb-2027</w:t>
      </w:r>
    </w:p>
    <w:p>
      <w:r>
        <w:t>Owner: Quality Assurance | Approver: QA Director | Classification: GMP Controlled</w:t>
      </w:r>
    </w:p>
    <w:p>
      <w:pPr>
        <w:pStyle w:val="Heading1"/>
      </w:pPr>
      <w:r>
        <w:t>Critical Quality Attributes — Acceptance Criteria</w:t>
      </w:r>
    </w:p>
    <w:p>
      <w:r>
        <w:t>The following table defines mandatory acceptance thresholds. AND logic applies — ALL parameters must pass for batch release. Out-of-specification results for any single parameter constitute batch failure regardless of other parameters passing.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Parameter (Column Name in LIMS)</w:t>
            </w:r>
          </w:p>
        </w:tc>
        <w:tc>
          <w:tcPr>
            <w:tcW w:type="dxa" w:w="1728"/>
          </w:tcPr>
          <w:p>
            <w:r>
              <w:t>Minimum</w:t>
            </w:r>
          </w:p>
        </w:tc>
        <w:tc>
          <w:tcPr>
            <w:tcW w:type="dxa" w:w="1728"/>
          </w:tcPr>
          <w:p>
            <w:r>
              <w:t>Maximum</w:t>
            </w:r>
          </w:p>
        </w:tc>
        <w:tc>
          <w:tcPr>
            <w:tcW w:type="dxa" w:w="1728"/>
          </w:tcPr>
          <w:p>
            <w:r>
              <w:t>Unit</w:t>
            </w:r>
          </w:p>
        </w:tc>
        <w:tc>
          <w:tcPr>
            <w:tcW w:type="dxa" w:w="1728"/>
          </w:tcPr>
          <w:p>
            <w:r>
              <w:t>Action if OOS</w:t>
            </w:r>
          </w:p>
        </w:tc>
      </w:tr>
      <w:tr>
        <w:tc>
          <w:tcPr>
            <w:tcW w:type="dxa" w:w="1728"/>
          </w:tcPr>
          <w:p>
            <w:r>
              <w:t>Fermentation_Temp_C</w:t>
            </w:r>
          </w:p>
        </w:tc>
        <w:tc>
          <w:tcPr>
            <w:tcW w:type="dxa" w:w="1728"/>
          </w:tcPr>
          <w:p>
            <w:r>
              <w:t>36.0</w:t>
            </w:r>
          </w:p>
        </w:tc>
        <w:tc>
          <w:tcPr>
            <w:tcW w:type="dxa" w:w="1728"/>
          </w:tcPr>
          <w:p>
            <w:r>
              <w:t>37.8</w:t>
            </w:r>
          </w:p>
        </w:tc>
        <w:tc>
          <w:tcPr>
            <w:tcW w:type="dxa" w:w="1728"/>
          </w:tcPr>
          <w:p>
            <w:r>
              <w:t>°C</w:t>
            </w:r>
          </w:p>
        </w:tc>
        <w:tc>
          <w:tcPr>
            <w:tcW w:type="dxa" w:w="1728"/>
          </w:tcPr>
          <w:p>
            <w:r>
              <w:t>Quarantine batch; check jacket controller; notify QA</w:t>
            </w:r>
          </w:p>
        </w:tc>
      </w:tr>
      <w:tr>
        <w:tc>
          <w:tcPr>
            <w:tcW w:type="dxa" w:w="1728"/>
          </w:tcPr>
          <w:p>
            <w:r>
              <w:t>pH_Final</w:t>
            </w:r>
          </w:p>
        </w:tc>
        <w:tc>
          <w:tcPr>
            <w:tcW w:type="dxa" w:w="1728"/>
          </w:tcPr>
          <w:p>
            <w:r>
              <w:t>6.95</w:t>
            </w:r>
          </w:p>
        </w:tc>
        <w:tc>
          <w:tcPr>
            <w:tcW w:type="dxa" w:w="1728"/>
          </w:tcPr>
          <w:p>
            <w:r>
              <w:t>7.45</w:t>
            </w:r>
          </w:p>
        </w:tc>
        <w:tc>
          <w:tcPr>
            <w:tcW w:type="dxa" w:w="1728"/>
          </w:tcPr>
          <w:p>
            <w:r>
              <w:t>—</w:t>
            </w:r>
          </w:p>
        </w:tc>
        <w:tc>
          <w:tcPr>
            <w:tcW w:type="dxa" w:w="1728"/>
          </w:tcPr>
          <w:p>
            <w:r>
              <w:t>Adjust buffer; re-test within 2h; document in batch record</w:t>
            </w:r>
          </w:p>
        </w:tc>
      </w:tr>
      <w:tr>
        <w:tc>
          <w:tcPr>
            <w:tcW w:type="dxa" w:w="1728"/>
          </w:tcPr>
          <w:p>
            <w:r>
              <w:t>Protein_Concentration</w:t>
            </w:r>
          </w:p>
        </w:tc>
        <w:tc>
          <w:tcPr>
            <w:tcW w:type="dxa" w:w="1728"/>
          </w:tcPr>
          <w:p>
            <w:r>
              <w:t>42.0</w:t>
            </w:r>
          </w:p>
        </w:tc>
        <w:tc>
          <w:tcPr>
            <w:tcW w:type="dxa" w:w="1728"/>
          </w:tcPr>
          <w:p>
            <w:r>
              <w:t>—</w:t>
            </w:r>
          </w:p>
        </w:tc>
        <w:tc>
          <w:tcPr>
            <w:tcW w:type="dxa" w:w="1728"/>
          </w:tcPr>
          <w:p>
            <w:r>
              <w:t>mg/mL</w:t>
            </w:r>
          </w:p>
        </w:tc>
        <w:tc>
          <w:tcPr>
            <w:tcW w:type="dxa" w:w="1728"/>
          </w:tcPr>
          <w:p>
            <w:r>
              <w:t>Concentrate step; reject if &lt;30 mg/mL; document deviation</w:t>
            </w:r>
          </w:p>
        </w:tc>
      </w:tr>
      <w:tr>
        <w:tc>
          <w:tcPr>
            <w:tcW w:type="dxa" w:w="1728"/>
          </w:tcPr>
          <w:p>
            <w:r>
              <w:t>Cell_Viability_Percent</w:t>
            </w:r>
          </w:p>
        </w:tc>
        <w:tc>
          <w:tcPr>
            <w:tcW w:type="dxa" w:w="1728"/>
          </w:tcPr>
          <w:p>
            <w:r>
              <w:t>80.0</w:t>
            </w:r>
          </w:p>
        </w:tc>
        <w:tc>
          <w:tcPr>
            <w:tcW w:type="dxa" w:w="1728"/>
          </w:tcPr>
          <w:p>
            <w:r>
              <w:t>—</w:t>
            </w:r>
          </w:p>
        </w:tc>
        <w:tc>
          <w:tcPr>
            <w:tcW w:type="dxa" w:w="1728"/>
          </w:tcPr>
          <w:p>
            <w:r>
              <w:t>%</w:t>
            </w:r>
          </w:p>
        </w:tc>
        <w:tc>
          <w:tcPr>
            <w:tcW w:type="dxa" w:w="1728"/>
          </w:tcPr>
          <w:p>
            <w:r>
              <w:t>If &lt;75% escalate to QA immediately; reject batch</w:t>
            </w:r>
          </w:p>
        </w:tc>
      </w:tr>
      <w:tr>
        <w:tc>
          <w:tcPr>
            <w:tcW w:type="dxa" w:w="1728"/>
          </w:tcPr>
          <w:p>
            <w:r>
              <w:t>Dissolved_O2_Saturation</w:t>
            </w:r>
          </w:p>
        </w:tc>
        <w:tc>
          <w:tcPr>
            <w:tcW w:type="dxa" w:w="1728"/>
          </w:tcPr>
          <w:p>
            <w:r>
              <w:t>25.0</w:t>
            </w:r>
          </w:p>
        </w:tc>
        <w:tc>
          <w:tcPr>
            <w:tcW w:type="dxa" w:w="1728"/>
          </w:tcPr>
          <w:p>
            <w:r>
              <w:t>65.0</w:t>
            </w:r>
          </w:p>
        </w:tc>
        <w:tc>
          <w:tcPr>
            <w:tcW w:type="dxa" w:w="1728"/>
          </w:tcPr>
          <w:p>
            <w:r>
              <w:t>%</w:t>
            </w:r>
          </w:p>
        </w:tc>
        <w:tc>
          <w:tcPr>
            <w:tcW w:type="dxa" w:w="1728"/>
          </w:tcPr>
          <w:p>
            <w:r>
              <w:t>Check sparger; adjust agitation and gas flow rates</w:t>
            </w:r>
          </w:p>
        </w:tc>
      </w:tr>
      <w:tr>
        <w:tc>
          <w:tcPr>
            <w:tcW w:type="dxa" w:w="1728"/>
          </w:tcPr>
          <w:p>
            <w:r>
              <w:t>CO2_Partial_Pressure_mmHg</w:t>
            </w:r>
          </w:p>
        </w:tc>
        <w:tc>
          <w:tcPr>
            <w:tcW w:type="dxa" w:w="1728"/>
          </w:tcPr>
          <w:p>
            <w:r>
              <w:t>20.0</w:t>
            </w:r>
          </w:p>
        </w:tc>
        <w:tc>
          <w:tcPr>
            <w:tcW w:type="dxa" w:w="1728"/>
          </w:tcPr>
          <w:p>
            <w:r>
              <w:t>60.0</w:t>
            </w:r>
          </w:p>
        </w:tc>
        <w:tc>
          <w:tcPr>
            <w:tcW w:type="dxa" w:w="1728"/>
          </w:tcPr>
          <w:p>
            <w:r>
              <w:t>mmHg</w:t>
            </w:r>
          </w:p>
        </w:tc>
        <w:tc>
          <w:tcPr>
            <w:tcW w:type="dxa" w:w="1728"/>
          </w:tcPr>
          <w:p>
            <w:r>
              <w:t>Adjust sweep gas; re-check headspace composition</w:t>
            </w:r>
          </w:p>
        </w:tc>
      </w:tr>
      <w:tr>
        <w:tc>
          <w:tcPr>
            <w:tcW w:type="dxa" w:w="1728"/>
          </w:tcPr>
          <w:p>
            <w:r>
              <w:t>Glucose_Consumption_g_per_L</w:t>
            </w:r>
          </w:p>
        </w:tc>
        <w:tc>
          <w:tcPr>
            <w:tcW w:type="dxa" w:w="1728"/>
          </w:tcPr>
          <w:p>
            <w:r>
              <w:t>8.0</w:t>
            </w:r>
          </w:p>
        </w:tc>
        <w:tc>
          <w:tcPr>
            <w:tcW w:type="dxa" w:w="1728"/>
          </w:tcPr>
          <w:p>
            <w:r>
              <w:t>20.0</w:t>
            </w:r>
          </w:p>
        </w:tc>
        <w:tc>
          <w:tcPr>
            <w:tcW w:type="dxa" w:w="1728"/>
          </w:tcPr>
          <w:p>
            <w:r>
              <w:t>g/L</w:t>
            </w:r>
          </w:p>
        </w:tc>
        <w:tc>
          <w:tcPr>
            <w:tcW w:type="dxa" w:w="1728"/>
          </w:tcPr>
          <w:p>
            <w:r>
              <w:t>Review feed strategy; investigate metabolic health</w:t>
            </w:r>
          </w:p>
        </w:tc>
      </w:tr>
      <w:tr>
        <w:tc>
          <w:tcPr>
            <w:tcW w:type="dxa" w:w="1728"/>
          </w:tcPr>
          <w:p>
            <w:r>
              <w:t>Lactate_Production_mmol_per_L</w:t>
            </w:r>
          </w:p>
        </w:tc>
        <w:tc>
          <w:tcPr>
            <w:tcW w:type="dxa" w:w="1728"/>
          </w:tcPr>
          <w:p>
            <w:r>
              <w:t>—</w:t>
            </w:r>
          </w:p>
        </w:tc>
        <w:tc>
          <w:tcPr>
            <w:tcW w:type="dxa" w:w="1728"/>
          </w:tcPr>
          <w:p>
            <w:r>
              <w:t>25.0</w:t>
            </w:r>
          </w:p>
        </w:tc>
        <w:tc>
          <w:tcPr>
            <w:tcW w:type="dxa" w:w="1728"/>
          </w:tcPr>
          <w:p>
            <w:r>
              <w:t>mmol/L</w:t>
            </w:r>
          </w:p>
        </w:tc>
        <w:tc>
          <w:tcPr>
            <w:tcW w:type="dxa" w:w="1728"/>
          </w:tcPr>
          <w:p>
            <w:r>
              <w:t>Indicates oxygen limitation; review DO control</w:t>
            </w:r>
          </w:p>
        </w:tc>
      </w:tr>
      <w:tr>
        <w:tc>
          <w:tcPr>
            <w:tcW w:type="dxa" w:w="1728"/>
          </w:tcPr>
          <w:p>
            <w:r>
              <w:t>NH3_Concentration_mM</w:t>
            </w:r>
          </w:p>
        </w:tc>
        <w:tc>
          <w:tcPr>
            <w:tcW w:type="dxa" w:w="1728"/>
          </w:tcPr>
          <w:p>
            <w:r>
              <w:t>—</w:t>
            </w:r>
          </w:p>
        </w:tc>
        <w:tc>
          <w:tcPr>
            <w:tcW w:type="dxa" w:w="1728"/>
          </w:tcPr>
          <w:p>
            <w:r>
              <w:t>4.5</w:t>
            </w:r>
          </w:p>
        </w:tc>
        <w:tc>
          <w:tcPr>
            <w:tcW w:type="dxa" w:w="1728"/>
          </w:tcPr>
          <w:p>
            <w:r>
              <w:t>mM</w:t>
            </w:r>
          </w:p>
        </w:tc>
        <w:tc>
          <w:tcPr>
            <w:tcW w:type="dxa" w:w="1728"/>
          </w:tcPr>
          <w:p>
            <w:r>
              <w:t>Ammonia toxicity threshold; check glutamine feeds</w:t>
            </w:r>
          </w:p>
        </w:tc>
      </w:tr>
      <w:tr>
        <w:tc>
          <w:tcPr>
            <w:tcW w:type="dxa" w:w="1728"/>
          </w:tcPr>
          <w:p>
            <w:r>
              <w:t>Osmolality_mOsm_per_kg</w:t>
            </w:r>
          </w:p>
        </w:tc>
        <w:tc>
          <w:tcPr>
            <w:tcW w:type="dxa" w:w="1728"/>
          </w:tcPr>
          <w:p>
            <w:r>
              <w:t>280.0</w:t>
            </w:r>
          </w:p>
        </w:tc>
        <w:tc>
          <w:tcPr>
            <w:tcW w:type="dxa" w:w="1728"/>
          </w:tcPr>
          <w:p>
            <w:r>
              <w:t>340.0</w:t>
            </w:r>
          </w:p>
        </w:tc>
        <w:tc>
          <w:tcPr>
            <w:tcW w:type="dxa" w:w="1728"/>
          </w:tcPr>
          <w:p>
            <w:r>
              <w:t>mOsm/kg</w:t>
            </w:r>
          </w:p>
        </w:tc>
        <w:tc>
          <w:tcPr>
            <w:tcW w:type="dxa" w:w="1728"/>
          </w:tcPr>
          <w:p>
            <w:r>
              <w:t>Hyperosmotic stress affects viability and glycosylation</w:t>
            </w:r>
          </w:p>
        </w:tc>
      </w:tr>
      <w:tr>
        <w:tc>
          <w:tcPr>
            <w:tcW w:type="dxa" w:w="1728"/>
          </w:tcPr>
          <w:p>
            <w:r>
              <w:t>Agitation_RPM</w:t>
            </w:r>
          </w:p>
        </w:tc>
        <w:tc>
          <w:tcPr>
            <w:tcW w:type="dxa" w:w="1728"/>
          </w:tcPr>
          <w:p>
            <w:r>
              <w:t>120.0</w:t>
            </w:r>
          </w:p>
        </w:tc>
        <w:tc>
          <w:tcPr>
            <w:tcW w:type="dxa" w:w="1728"/>
          </w:tcPr>
          <w:p>
            <w:r>
              <w:t>280.0</w:t>
            </w:r>
          </w:p>
        </w:tc>
        <w:tc>
          <w:tcPr>
            <w:tcW w:type="dxa" w:w="1728"/>
          </w:tcPr>
          <w:p>
            <w:r>
              <w:t>RPM</w:t>
            </w:r>
          </w:p>
        </w:tc>
        <w:tc>
          <w:tcPr>
            <w:tcW w:type="dxa" w:w="1728"/>
          </w:tcPr>
          <w:p>
            <w:r>
              <w:t>Shear stress limits; verify impeller calibration records</w:t>
            </w:r>
          </w:p>
        </w:tc>
      </w:tr>
    </w:tbl>
    <w:p>
      <w:pPr>
        <w:pStyle w:val="Heading2"/>
      </w:pPr>
      <w:r>
        <w:t>1. Purpose and Regulatory Basis</w:t>
      </w:r>
    </w:p>
    <w:p>
      <w:r>
        <w:t>This document has been prepared in accordance with ICH Q8 (Pharmaceutical Development), Q9 (Quality Risk Management), Q10 (Pharmaceutical Quality System), and Q11 (Development and Manufacture of Drug Substances) guidelines. All procedures described herein comply with 21 CFR Part 211 (Current Good Manufacturing Practice for Finished Pharmaceuticals), 21 CFR Part 11 (Electronic Records and Electronic Signatures), EU GMP Annex 1 (Manufacture of Sterile Medicinal Products, 2022 revision), EU GMP Annex 11 (Computerised Systems), and ISO 13485:2016 (Medical Devices Quality Management Systems). This Standard Operating Procedure has been prepared, reviewed, and approved by Quality Assurance, Regulatory Affairs, Process Development, and the manufacturing site Quality Director. Any deviation from this procedure must be documented in the electronic batch record system and reviewed by a qualified QA professional within 24 hours of discovery. Repeat deviations (same root cause occurring more than twice) trigger a formal CAPA (Corrective and Preventive Action) investigation with escalation to the Site Management Review. All personnel performing procedures described in this document must be fully trained, assessed as competent, and have current training records in the document management system. Training records must be maintained for a minimum of five years beyond the last date of use of this procedure or product expiry, whichever is later. This SOP is subject to periodic review every 24 months or upon significant process change, equipment modification, or regulatory guidance update, whichever comes first. Emergency revisions may be implemented via Temporary Operating Instructions (TOI) pending formal change control completion.</w:t>
      </w:r>
    </w:p>
    <w:p/>
    <w:p>
      <w:pPr>
        <w:pStyle w:val="Heading2"/>
      </w:pPr>
      <w:r>
        <w:t>2. Scope and Applicability</w:t>
      </w:r>
    </w:p>
    <w:p>
      <w:r>
        <w:t>This SOP applies to all bioreactor harvest operations conducted in Building 4 (Suites 401–408) and Building 7 (Suites 701–704) at the Excelra facility. It covers batch sizes from 50L to 2000L using both single-use bioreactors (SUBs) and stainless-steel vessels. All upstream cell culture operations and downstream processing steps that directly interact with the cell culture harvest material are subject to the critical quality attributes (CQAs) defined in Section 3. This SOP does not cover N-1 seed bioreactor operations (refer to SOP-BH-2024-003) or Wave bioreactor operations below 50L working volume (refer to SOP-BH-2024-001). Contract manufacturing organisations (CMOs) performing these operations under quality agreement must demonstrate equivalence to this SOP and have their procedures reviewed and approved by Excelra QA before any GMP manufacturing commences. Technology transfer to new manufacturing sites requires formal tech transfer protocols per SOP-QA-TT-001.</w:t>
      </w:r>
    </w:p>
    <w:p/>
    <w:p>
      <w:pPr>
        <w:pStyle w:val="Heading2"/>
      </w:pPr>
      <w:r>
        <w:t>3. Fermentation Temperature — Detailed Control Specification</w:t>
      </w:r>
    </w:p>
    <w:p>
      <w:r>
        <w:t>Fermentation temperature (recorded as Fermentation_Temp_C in the LIMS export and batch record) must be maintained within 36.0–37.8°C throughout the entire culture duration from inoculation to harvest. The standard setpoint is 37.0°C with a permitted control deadband of ±0.5°C. Temperature is measured continuously by a calibrated PT100 resistance temperature detector (RTD) with a measurement uncertainty of ±0.1°C (expanded uncertainty at k=2, 95% confidence interval) as established by calibration qualification CQ-TEMP-2024-001. The RTD must be calibrated against a NIST-traceable reference thermometer every 12 months, with interim performance verification using a certified reference thermometer every 6 months. Temperature excursions greater than ±0.5°C over any consecutive 30-minute window constitute a process excursion requiring deviation documentation and immediate corrective action. If the bioreactor temperature cannot be restored to within specification within 60 minutes, the batch must be placed on quality hold immediately and QA notified. The bioreactor jacket temperature control system must maintain the vessel at setpoint temperature within ±0.3°C under normal operating conditions. If the jacket temperature deviates by more than 2°C from setpoint for more than 15 minutes, the temperature control system alarm must be acknowledged and the equipment maintenance team contacted. For Cold-Chain Adapted (CCA) cell lines — those designated CCA in the batch manufacturing record — the approved operating temperature range is 34.0–36.5°C, as established by process characterisation study PCD-2024-011 and approved by regulatory filing RTF-2025-CCA-001. CCA batch temperature ranges are not interchangeable with standard batch ranges. Any CCA batch run above 36.5°C or below 34.0°C for more than 30 minutes must be treated as an out-of-specification event requiring full investigation.</w:t>
      </w:r>
    </w:p>
    <w:p/>
    <w:p>
      <w:pPr>
        <w:pStyle w:val="Heading2"/>
      </w:pPr>
      <w:r>
        <w:t>4. pH Measurement, Control, and Documentation</w:t>
      </w:r>
    </w:p>
    <w:p>
      <w:r>
        <w:t>The pH of the bioreactor culture (recorded as pH_Final at the time of harvest) must be within the range 6.95–7.45. The pH setpoint during culture is 7.20, controlled within a deadband of ±0.05 pH units. pH is measured continuously using an inline gel-filled pH probe (Mettler-Toledo InPro 3000/SG or equivalent) that undergoes two-point calibration using pH 4.00 and pH 7.00 buffer standards (Certipur grade, ±0.02 pH at 20°C) immediately before each bioreactor run. The slope of the pH calibration must be between 95% and 105% of theoretical (59.16 mV/pH unit at 25°C). Calibration below 95% indicates a fouled or damaged probe membrane that must be replaced before the run commences. pH probes must be sterilised according to equipment SOP EQ-SOP-pH-001 before each use. Probe sterilisation autoclave cycle parameters must be recorded and verified before the probe is installed in the bioreactor. The pH of the bioreactor culture is controlled through automated addition of sterile-filtered CO2 gas (to lower pH — flow rate 0–5 L/min) and sterile 1M NaOH solution (to raise pH — volumetric addition rate 0–50 mL/min) via calibrated peristaltic pumps. All pH control additions must be logged in the batch record with timestamp, duration, volume (for NaOH), and pre/post pH measurements. If pH drops below 6.85 or rises above 7.60 and cannot be corrected to within specification within 2 hours despite full corrective action, the batch must be placed on quality hold immediately and QA notified within 30 minutes. Offline pH confirmation measurements using a calibrated benchtop pH meter must be taken at 48-hour intervals throughout the culture, with the last offline measurement taken within 2 hours of harvest. If the offline and inline pH values differ by more than 0.10 pH units, the root cause must be investigated before the inline value can be used for batch disposition.</w:t>
      </w:r>
    </w:p>
    <w:p/>
    <w:p>
      <w:pPr>
        <w:pStyle w:val="Heading2"/>
      </w:pPr>
      <w:r>
        <w:t>5. Protein Concentration — Methods and Acceptance Criteria</w:t>
      </w:r>
    </w:p>
    <w:p>
      <w:r>
        <w:t>Total protein concentration in the bioreactor harvest (Protein_Concentration, measured in mg/mL) must meet a minimum of 42.0 mg/mL for standard batches prior to commencement of any downstream processing step. Protein concentration is the primary CQA used to assess process performance and determine downstream processing parameters such as column loading volumes. Protein concentration is determined by UV absorbance at 280nm using a NanoDrop 2000 spectrophotometer (Thermo Fisher Scientific) with the extinction coefficient validated specifically for the target recombinant protein. The extinction coefficient (ε280) must be verified annually using quantitative amino acid analysis (AAA) according to SOP-ANA-AAA-002, with the validated value updated in the analytical method record. The spectrophotometer must be blanked using the same buffer as the harvest material (without protein) before each measurement session. Each harvest sample measurement must be performed in duplicate without moving the sample between measurements; if the two replicate measurements differ by more than 3%, the sample surface must be cleaned, a fresh aliquot loaded, and measurements repeated. If the tripled measurement still shows &gt;3% variation, the instrument must be serviced. The measurement uncertainty for the NanoDrop UV-280 method is ±5% (expanded uncertainty, k=2, 95% confidence interval) based on method validation study MVS-2023-018, conducted with purified reference standard protein. For Process Intensification (PI) batches designated PI in the batch record, the minimum acceptable Protein_Concentration is 35.0 mg/mL, as established by internal development study INT-2026-011 which demonstrated equivalent downstream purification efficiency at lower starting concentrations provided Cell_Viability_Percent is simultaneously ≥85.0%. There is no upper specification limit for protein concentration; however, values above 120.0 mg/mL should trigger a process development notification for review.</w:t>
      </w:r>
    </w:p>
    <w:p/>
    <w:p>
      <w:pPr>
        <w:pStyle w:val="Heading2"/>
      </w:pPr>
      <w:r>
        <w:t>6. Cell Viability Assessment Protocol</w:t>
      </w:r>
    </w:p>
    <w:p>
      <w:r>
        <w:t>Cell viability (Cell_Viability_Percent) must be determined by the trypan blue exclusion method using the Vi-Cell XR automated cell counting system (Beckman Coulter). The instrument must be cleaned according to the weekly maintenance procedure (EQ-SOP-VICELL-001) and its performance verified using calibration beads before the first run of each working day. If the calibration bead count is outside the acceptable range (500–600 cells per field), the instrument must not be used until serviced. Harvest samples must be diluted to within the linear counting range of the instrument (0.05–4.0 × 10⁶ cells/mL total cell density) using sterile endotoxin-tested 1× phosphate buffered saline (PBS), pH 7.4. The dilution factor must be recorded in the batch record. Cell viability is calculated automatically by the instrument as: (viable cells [unstained] / total cells [viable + non-viable stained with trypan blue]) × 100%. Each viability measurement must be performed in duplicate by resuspending, diluting, and loading a fresh aliquot; if the two measurements differ by more than 3 percentage points absolute, a third measurement must be taken and the median of the three values reported as the final result. Minimum viability for standard batch release is 80.0%. Batches with viability between 75.0% and 80.0% enter a quality hold status requiring QA review and supporting metabolic data (glucose, lactate, ammonia trends) before any disposition decision. Batches with viability below 75.0% are automatically rejected without exception. For Scale-Up (SU) batches designated SU in the batch record, the minimum acceptable harvest viability is 72.0%, with the mandatory additional requirement that Day 3 culture viability (72 hours post-inoculation) must be documented as ≥82.0% to confirm culture recovery. For trainee analysts (currently: Analyst_B as of Q1 2026 review), a conservative 2 percentage point buffer must be applied — the measured value reported for batch disposition purposes is the instrument reading minus 2.0 percentage points.</w:t>
      </w:r>
    </w:p>
    <w:p/>
    <w:p>
      <w:pPr>
        <w:pStyle w:val="Heading2"/>
      </w:pPr>
      <w:r>
        <w:t>7. Dissolved Oxygen Monitoring and Cascade Control</w:t>
      </w:r>
    </w:p>
    <w:p>
      <w:r>
        <w:t>Dissolved oxygen saturation (Dissolved_O2_Saturation) must be maintained between 25% and 65% of air saturation during the exponential growth phase of culture (typically Days 3–8 for the standard 14-day fed-batch process). During the stationary phase (Days 8–14), a minimum of 20% is acceptable as cellular oxygen demand decreases with declining cell growth. For Emergency batches (EMG designation), the minimum dissolved oxygen specification is relaxed to 20% throughout the entire culture duration, subject to QA approval (reference: QAD-2026-044). DO is measured by polarographic Clark-type dissolved oxygen probes (Mettler-Toledo InPro 6820/SG or equivalent) calibrated to 0% saturation (nitrogen sparging for 30 minutes) and 100% saturation (air sparging for 30 minutes) at run temperature and pressure immediately before each bioreactor run. DO control is achieved through an automated cascade system in the following fixed priority order: first, increasing agitation rate (up to the maximum specified RPM); second, increasing oxygen enrichment fraction of sparge gas (up to 100% O2); third, increasing total sparge gas flow rate (up to maximum defined for vessel size); and fourth, increasing bioreactor headspace pressure (up to 0.1 bar gauge). The cascade parameters must be documented in the batch record and the bioreactor DCS system settings verified before inoculation. If DO cannot be maintained above 20% for more than 60 minutes despite maximum cascade intervention at all levels, the batch must be placed on quality hold and QA notified. Maintenance of DO below the maximum limit (65%) is equally critical — excessive DO causes oxidative stress, increased reactive oxygen species (ROS) production, and potential product quality impacts. If DO exceeds 65% for more than 2 hours, the sparge gas composition must be adjusted to reduce oxygen enrichment.</w:t>
      </w:r>
    </w:p>
    <w:p/>
    <w:p>
      <w:pPr>
        <w:pStyle w:val="Heading2"/>
      </w:pPr>
      <w:r>
        <w:t>8. CO2 Partial Pressure Management and Specification</w:t>
      </w:r>
    </w:p>
    <w:p>
      <w:r>
        <w:t>Carbon dioxide partial pressure (CO2_Partial_Pressure_mmHg) must remain between 20 and 60 mmHg throughout the culture. CO2 is both a metabolic waste product and a pH buffer component; elevated pCO2 causes intracellular acidification, reduces specific productivity, and alters N-glycan profiles in ways that are unacceptable for biopharmaceutical manufacture. pCO2 is measured by inline sensors (Mettler-Toledo InPro 5000i or equivalent, calibrated monthly using certified two-point gas calibration with certified gas mixtures traceable to national standards) and confirmed by offline blood gas analyser (BGA) measurements. The BGA instrument (Radiometer ABL90 FLEX or equivalent) must be calibrated using three-level quality control materials every 8 hours of operation or at the start of each shift, whichever is more frequent. If inline pCO2 and offline BGA measurements differ by more than 15% of the inline reading, the discrepancy must be investigated and documented before results are used for batch disposition. CO2 accumulation is controlled by adjusting the sweep gas (a mixture of nitrogen and CO2 maintained at the setpoint) flow rate through the bioreactor headspace. CO2 levels above 80 mmHg for more than 4 hours constitute a critical process excursion requiring immediate QA notification and batch hold. For batches subject to Emergency Deviation ED-2026-003 (single affected batch only), CO2 values up to 80 mmHg are acceptable due to the confirmed CO2 probe calibration artefact. All other batches must meet the 20–60 mmHg range without exception.</w:t>
      </w:r>
    </w:p>
    <w:p/>
    <w:p>
      <w:pPr>
        <w:pStyle w:val="Heading2"/>
      </w:pPr>
      <w:r>
        <w:t>9. Glucose Metabolism and Lactate Production Monitoring</w:t>
      </w:r>
    </w:p>
    <w:p>
      <w:r>
        <w:t>Glucose consumption (Glucose_Consumption_g_per_L) and lactate production (Lactate_Production_mmol_per_L) are measured daily using the YSI 2950 Bioanalytical System with glucose-glutamate-lactate-ammonia multi-parameter electrodes. The instrument must be calibrated with fresh calibration standards (single-level calibration for each analyte) before each day's measurements, and the calibration standard must be freshly prepared or within 7 days of preparation date (store at 2–8°C). Glucose consumption is calculated as the sum of glucose added through feeds minus the residual glucose measured in the bioreactor, divided by the working volume. Glucose consumption must be between 8.0 and 20.0 g/L (cumulative, measured at the time of harvest on the final day of culture). A Day 1 sampling exception applies for samples taken within 24 hours of inoculation: Glucose_Consumption_g_per_L values as low as 5.0 g/L are acceptable at Day 1 only, as cells require an adaptation period post-inoculation. From Day 2 onwards, the 8.0 g/L minimum applies. Lactate production must not exceed 25.0 mmol/L at harvest. The lactate-to-glucose consumption ratio (L/G ratio) must be monitored as a metabolic efficiency indicator; ratios consistently above 0.5 across three or more consecutive daily measurements require immediate notification of Process Development for feed strategy review. L/G ratios above 0.7 for two consecutive measurements constitute an alert condition requiring QA notification.</w:t>
      </w:r>
    </w:p>
    <w:p/>
    <w:p>
      <w:pPr>
        <w:pStyle w:val="Heading2"/>
      </w:pPr>
      <w:r>
        <w:t>10. Ammonia Accumulation — Toxicity Threshold and Control</w:t>
      </w:r>
    </w:p>
    <w:p>
      <w:r>
        <w:t>Ammonia (NH3_Concentration_mM) accumulates as a byproduct of glutamine metabolism through both spontaneous and enzymatic hydrolysis pathways. Ammonia is toxic to mammalian cell cultures through multiple mechanisms including: inhibition of protein glycosylation (particularly sialylation of N-linked glycans), intracellular pH reduction through NH4+ uptake, direct cytotoxicity at concentrations above 5 mM, reduction in specific productivity, and alteration of product quality attributes. The maximum acceptable ammonia concentration in the bioreactor at time of harvest is 4.5 mM. Ammonia is measured daily using the YSI 2950 (ammonia electrode, glutamate-ammonia configuration). If ammonia concentration reaches or exceeds 3.5 mM at any daily measurement point, an immediate feed strategy review must be initiated by Process Development, with results reported to QA within 4 hours. If ammonia exceeds 4.5 mM at the time of harvest, the batch is placed on specification hold requiring QA and scientific director review before any disposition decision. Ammonia accumulation can be mitigated through: reducing the glutamine concentration in feed media, switching to glutamine-free media with glutamine synthetase supplementation, using ammonia-removing agents (e.g., zeolites — validate separately), or cell line engineering (not applicable to existing products). The YSI electrode for ammonia measurement must be calibrated at two concentrations (1.0 mM and 5.0 mM ammonium chloride standards) before each measurement session. Standards must be freshly prepared from certified reference material (Sigma-Aldrich or equivalent, certificate of analysis required).</w:t>
      </w:r>
    </w:p>
    <w:p/>
    <w:p>
      <w:pPr>
        <w:pStyle w:val="Heading2"/>
      </w:pPr>
      <w:r>
        <w:t>11. Osmolality Control and High-Feed Batch Exceptions</w:t>
      </w:r>
    </w:p>
    <w:p>
      <w:r>
        <w:t>Osmolality (Osmolality_mOsm_per_kg) reflects the total solute concentration in the culture medium and must be maintained within 280–340 mOsm/kg throughout the culture, measured at the time of harvest. Osmolality is measured by freezing-point depression using the Advanced Instruments Model 3320 automatic micro-osmometer, calibrated before each use with two certified standards (290 mOsm/kg and 900 mOsm/kg, LoTone and HiTone references). The measurement uncertainty is ±2 mOsm/kg (k=2, 95% CI). Samples must be analysed within 4 hours of collection and stored at 2–8°C if analysis is delayed more than 30 minutes from sample collection. Hyperosmotic conditions (&gt;350 mOsm/kg) are associated with: reduced cell growth rates (G1 phase arrest), altered N-glycan sialylation patterns, increased apoptotic rates above 360 mOsm/kg, and potential osmotic stress-related product quality changes. For High-Feed (HF) batches designated HF in the batch record, a time-limited osmolality exception applies: transient Osmolality_mOsm_per_kg values up to 370.0 mOsm/kg are acceptable, provided the time-weighted average over any 24-hour period does not exceed 340.0 mOsm/kg. This exception was approved at Science and Technology Review Board meeting STRB-2026-006 (20-Feb-2026) based on process characterisation data showing that transient osmolality peaks of 355–370 mOsm/kg occurring 2–4 hours post-feed return to baseline within 6 hours with no measurable impact on product quality attributes including glycan profile, charge variant distribution, or biological activity. HF batches must have continuous osmolality monitoring documented in the batch record with time-stamped readings every 2 hours during feed addition windows.</w:t>
      </w:r>
    </w:p>
    <w:p/>
    <w:p>
      <w:pPr>
        <w:pStyle w:val="Heading2"/>
      </w:pPr>
      <w:r>
        <w:t>12. Agitation Rate, Impeller Design, and Shear Stress Limits</w:t>
      </w:r>
    </w:p>
    <w:p>
      <w:r>
        <w:t>Agitation rate (Agitation_RPM) must be maintained within the specified range for each vessel size to balance adequate mixing and oxygen mass transfer against hydrodynamic shear stress-induced cell damage. Vessel-specific ranges: 500L stainless steel bioreactors (Sartorius BIOSTAT D-DCU), 120–280 RPM; 50L single-use bioreactors (Cytiva Xcellerex XDR-50), 80–200 RPM; 2000L stainless steel bioreactors (GE BioProcess 2000L), 60–120 RPM; 200L single-use bioreactors (Cytiva ReadyToProcess WAVE 200), 12–26 RPM (rocking angle 7°). Agitation rates outside these ranges for more than 30 minutes constitute a process excursion requiring deviation documentation. The power input per unit volume (P/V) must remain below 150 W/m³ to prevent cellular damage from turbulent energy dissipation at the Kolmogorov microscale. Tip speed for all impellers must remain below 1.5 m/s. These hydrodynamic constraints must be confirmed by computational fluid dynamics (CFD) modelling for any new vessel or impeller configuration before GMP manufacturing use. Impeller geometry (diameter, blade number, angle, pitch) must be documented in the equipment qualification record and verified before each manufacturing campaign. Any impeller repair (blade straightening, welding) or replacement requires re-qualification of mixing efficiency (tracer studies) and a shear characterisation assessment before the vessel is returned to GMP manufacturing service.</w:t>
      </w:r>
    </w:p>
    <w:p/>
    <w:p>
      <w:pPr>
        <w:pStyle w:val="Heading2"/>
      </w:pPr>
      <w:r>
        <w:t>13. Analytical Method Validation — Regulatory Requirements</w:t>
      </w:r>
    </w:p>
    <w:p>
      <w:r>
        <w:t>All analytical methods used for batch release testing of bioreactor harvest material must be validated in accordance with ICH Q2(R1) (Validation of Analytical Procedures: Text and Methodology) before use in GMP environments. Required validation characteristics for quantitative assays (Protein_Concentration, cell counts, metabolite measurements): specificity/selectivity, linearity (minimum R² = 0.999), range (spanning at least the specification range with ±20% extension), accuracy (recovery 98.0–102.0% at three concentration levels), precision (repeatability: ≤2.0% RSD; intermediate precision: ≤5.0% RSD across two analysts, two instruments, and two days), detection limit (IDL ≤ 10% of lowest specification), quantification limit (IQL ≤ specification lower limit), and robustness (deliberate variation of critical method parameters). Method validation reports must be reviewed by QA and the analytical director, then approved and maintained in the controlled document management system. Methods transferred from another site or from development to manufacturing require method transfer validation per SOP-QA-METH-012, including equivalence testing with ≥6 paired measurements showing no statistically significant bias. Any change to an approved analytical method — including reagent lot change, instrument model change, or procedural modification — requires a method change assessment (MCA) to determine the need for partial or full revalidation. All method validation data must be summarised in Annual Product Reviews (APRs).</w:t>
      </w:r>
    </w:p>
    <w:p/>
    <w:p>
      <w:pPr>
        <w:pStyle w:val="Heading2"/>
      </w:pPr>
      <w:r>
        <w:t>14. Environmental Monitoring Programme — Suite Classification</w:t>
      </w:r>
    </w:p>
    <w:p>
      <w:r>
        <w:t>The bioreactor suite environment must be monitored according to the classified area environmental monitoring programme (SOP-QA-EM-001). Suite classification requirements: Grade C (EU GMP) / ISO Class 8 for the bioreactor area during closed operations; Grade A local protection (EU GMP) / ISO Class 5 for open processing steps including connections to sterile media bags, sampling, and harvest connections. Environmental monitoring activities include: viable air monitoring by settle plate (90mm diameter Columbia Blood Agar, 4 hours exposure, 3 locations per room, weekly for Grade C; each shift for Grade A); active air sampling using an RCS Plus or equivalent impaction sampler (1000L air volume, 3 locations, weekly for Grade C; biweekly for Grade A); non-viable particle monitoring with handheld or remote particle counter (0.5µm and 5.0µm channels, continuous remote monitoring for Grade A zones); surface monitoring using contact plates (RODAC, 55mm diameter, Tryptic Soy Agar + Lecithin + Polysorbate 80, 5 locations per room, biweekly for Grade C; weekly for Grade A); personnel monitoring by fingertip plate (each qualified operator, biweekly). Environmental monitoring results must be reviewed against alert limits (investigation trigger) and action limits (mandatory CAPA within 5 business days). Trending of EM results must be performed monthly and reviewed at the quarterly Environmental Monitoring Review meeting attended by QA, operations, and the EM coordinator.</w:t>
      </w:r>
    </w:p>
    <w:p/>
    <w:p>
      <w:pPr>
        <w:pStyle w:val="Heading2"/>
      </w:pPr>
      <w:r>
        <w:t>15. Cleaning Validation and Residue Limits</w:t>
      </w:r>
    </w:p>
    <w:p>
      <w:r>
        <w:t>All bioreactor vessel surfaces, agitator shafts, spargers, probes, tubing, and ancillary equipment that contact harvest material or culture medium must be cleaned between batches according to the validated cleaning procedure SOP-MFG-CLN-007. Cleaning validation must demonstrate consistent, reproducible removal of product, bioburden, cleaning agents, and trace chemical residues to levels that do not pose a risk to the next product manufactured in the vessel. The cleaning validation strategy follows a bracketing approach covering worst-case scenarios for soil type (highest concentration protein product), vessel size, soil age (maximum hold time between last manufacturing activity and cleaning), and cleaning agent concentration. Acceptance limits for cleaning validation are determined using the Acceptable Daily Intake (ADI) or Therapeutic Daily Dose (TDD) approach for product residues, the LD50/10,000 safety factor approach for cleaning agent residues, and water conductivity for final rinse cleanliness. Specific limits: Total Organic Carbon (TOC) in final rinse water ≤ 10 ppm; conductivity of final rinse water ≤ 5 µS/cm; bioburden in final rinse water &lt; 1 CFU/100mL by membrane filtration; endotoxin in final rinse water &lt; 0.25 EU/mL by validated LAL method. Swab samples must be taken from three designated worst-case recovery locations on each vessel and analysed by the validated swab recovery method.</w:t>
      </w:r>
    </w:p>
    <w:p/>
    <w:p>
      <w:pPr>
        <w:pStyle w:val="Heading2"/>
      </w:pPr>
      <w:r>
        <w:t>16. Change Control and Impact Assessment</w:t>
      </w:r>
    </w:p>
    <w:p>
      <w:r>
        <w:t>All proposed changes to manufacturing processes, analytical methods, raw materials, equipment, facilities, computer systems, and organisational structures must be managed through the formal change control process (SOP-QA-CC-001) before implementation. Changes are risk-assessed and classified as: Major — likely to require prior approval regulatory submission (e.g., change to a critical process parameter acceptance criterion, change to a validated analytical method); Moderate — internal approval required with CAPA tracking (e.g., equipment replacement with equivalent model, raw material supplier change for non-critical materials); Minor — documentation only (e.g., typographical correction, formatting change with no content impact). The change owner must complete a change impact assessment (CIA) identifying all affected documents, validation states, regulatory filings, and quality system records. The CIA must be reviewed by QA, Process Development, and Regulatory Affairs before implementation approval. Post-implementation effectiveness checks must be defined and tracked to closure. Emergency changes required to prevent immediate risk to product quality or patient safety may be implemented with a post-implementation change control record, subject to QA Director written approval.</w:t>
      </w:r>
    </w:p>
    <w:p/>
    <w:p>
      <w:pPr>
        <w:pStyle w:val="Heading2"/>
      </w:pPr>
      <w:r>
        <w:t>17. Out-of-Specification Investigation Procedure</w:t>
      </w:r>
    </w:p>
    <w:p>
      <w:r>
        <w:t>Any bioreactor harvest result outside the acceptance criteria defined in Section 3 (Critical Quality Attributes table) triggers an immediate Out-of-Specification (OOS) investigation in accordance with 21 CFR 211.192, FDA Guidance for Industry (OOS, 2006), and ICH Q10 requirements. Phase 1 — Laboratory Investigation (must be completed within 5 business days): review of raw analytical data for transcription errors; re-test of the original sample by the same analyst using the same equipment; if re-test confirms OOS, second independent analyst re-test; examination of instrument calibration records, reagent lot numbers, and environmental conditions at time of analysis; documentation of any assignable laboratory error. If an assignable laboratory error is identified and documented, the original result may be invalidated and the test repeated — this decision requires written QA approval. Phase 2 — Process Investigation (must be completed within 20 business days): review of batch record for process deviations; trend analysis of the OOS parameter against historical data; review of raw material lot releases used in the batch; investigation of environmental monitoring data from the manufacturing period; consultation with Process Development and manufacturing operations. Phase 3 — Batch Disposition (upon Phase 2 completion): QA Director and site management review all investigation data; final batch disposition decision documented with full scientific and regulatory justification.</w:t>
      </w:r>
    </w:p>
    <w:p/>
    <w:p>
      <w:pPr>
        <w:pStyle w:val="Heading2"/>
      </w:pPr>
      <w:r>
        <w:t>18. Document Control and Records Management</w:t>
      </w:r>
    </w:p>
    <w:p>
      <w:r>
        <w:t>This document is controlled under the Excelra electronic document management system (EDMS — Veeva Vault QualityDocs). Printed copies of controlled documents are automatically marked 'Uncontrolled Copy — For Reference Only' and must not be used for manufacturing operations. The current approved version is always the version published in the EDMS at the time of manufacture. All proposed changes must follow the change control procedure (SOP-QA-CC-001). Emergency revisions may be implemented via Temporary Operating Instructions (TOI), which must be approved by QA Director and converted to a formal revision within 30 calendar days. Batch records generated during execution of this SOP are primary GMP records and must be maintained in compliance with 21 CFR Part 11 (electronic records) and 21 CFR Part 211.188 (batch production and control records). Batch records must be retained for a minimum of one year after product expiration date or three years after distribution of the last lot, whichever is longer. Raw data supporting batch records (instrument printouts, electronic data files, analytical worksheets) must be preserved with equivalent retention requirements and must not be deleted or modified after the batch has been formally closed in the batch record system.</w:t>
      </w:r>
    </w:p>
    <w:p/>
    <w:p>
      <w:pPr>
        <w:pStyle w:val="Heading2"/>
      </w:pPr>
      <w:r>
        <w:t>19. Regulatory Authority Inspection Readiness</w:t>
      </w:r>
    </w:p>
    <w:p>
      <w:r>
        <w:t>All personnel involved in bioreactor harvest operations must be prepared to demonstrate the following to regulatory inspectors (FDA, EMA, MHRA, PMDA, or equivalent): full understanding of their specific role and responsibilities; ability to locate and interpret the current version of this SOP; knowledge of the critical quality attributes and acceptance criteria for harvest material; understanding of the batch record and deviation reporting requirements; familiarity with the change control and OOS investigation processes. Inspection readiness is maintained through quarterly mock inspection audits (SOP-QA-INSP-002), ongoing training programmes, and annual self-inspection of all GMP areas. Inspection observation reports must be reviewed by site management and QA Director within 5 business days of receipt, with CAPA plans submitted within 30 business days. Repeat inspection observations on the same root cause constitute a systemic quality failure requiring escalation to the Site Quality Council.</w:t>
      </w:r>
    </w:p>
    <w:p/>
    <w:p>
      <w:pPr>
        <w:pStyle w:val="Heading2"/>
      </w:pPr>
      <w:r>
        <w:t>20. Appendix A — Instrument Calibration Schedule</w:t>
      </w:r>
    </w:p>
    <w:p>
      <w:r>
        <w:t>Fermentation temperature probes (RTD sensors): Full calibration every 12 months against NIST-traceable reference thermometer at three calibration points (20°C, 37°C, 50°C). Interim performance check every 6 months. Acceptance criteria: measured temperature within ±0.2°C of reference at all three points. pH probes: Two-point buffer calibration before each bioreactor run using pH 4.00 and pH 7.00 Certipur-grade buffers within expiry date. Slope acceptance: 95–105% of theoretical. Annual polarisation check. Vi-Cell XR cell counter: Daily performance verification with calibration beads (pass range: 500–600 cells/field). Monthly full service calibration by Beckman Coulter service engineer. Annual qualification. YSI 2950 bioanalyser: Single-concentration calibration with fresh standard before each measurement session. Standard preparation date must be within 7 days. Cross-check with laboratory reference standards bimonthly. Advanced Instruments osmometer: Two-standard calibration (290 mOsm/kg and 900 mOsm/kg) before each session. Triplicate measurement of 290 mOsm/kg standard must be within ±2 mOsm/kg before use. NanoDrop 2000 spectrophotometer: Blank verification with buffer before each session. Absorbance linearity check with certified absorbance standards quarterly. CO2 probes: Three-point calibration monthly using certified gas mixtures (5%, 15%, and calibration standard concentration CO2 in nitrogen). Acceptance: reading within ±5% of certified concentration. Dissolved oxygen probes: Zero (N2-sparged) and full-scale (air-sparged) calibration before each run at run temperature and pressure. Radiometer BGA instrument: Three-level quality control materials every 8 hours of operation. All calibration records maintained in equipment qualification files for a minimum of 5 years.</w:t>
      </w:r>
    </w:p>
    <w:p/>
    <w:p>
      <w:pPr>
        <w:pStyle w:val="Heading2"/>
      </w:pPr>
      <w:r>
        <w:t>21. Appendix B — Glossary of Terms</w:t>
      </w:r>
    </w:p>
    <w:p>
      <w:r>
        <w:t>AAA — Amino Acid Analysis; quantitative determination of amino acid composition used to validate protein extinction coefficients. ADI — Acceptable Daily Intake; used in cleaning validation limit calculations for product residues. BGA — Blood Gas Analyser; offline instrument for measuring dissolved gas tensions including pCO2. CAPA — Corrective and Preventive Action; systematic process for identifying, investigating, and eliminating root causes of quality failures. CCA — Cold-Chain Adapted; designation for cell lines optimised for operation at reduced temperature (34.0–36.5°C). CFD — Computational Fluid Dynamics; modelling approach used to characterise bioreactor mixing and shear stress. CFU — Colony Forming Unit; measure of viable microbial contamination. CIA — Change Impact Assessment; evaluation of the scope and risk of a proposed change. CMO — Contract Manufacturing Organisation. CQA — Critical Quality Attribute; a physical, chemical, biological, or microbiological property that must be within an appropriate limit to ensure product quality. EDMS — Electronic Document Management System. EMG — Emergency batch designation. GMP — Good Manufacturing Practice. HF — High-Feed batch designation. ICH — International Council for Harmonisation of Technical Requirements for Pharmaceuticals for Human Use. ICP-MS — Inductively Coupled Plasma Mass Spectrometry. IDL — Instrument Detection Limit. IQ/OQ/PQ — Installation Qualification / Operational Qualification / Performance Qualification. IQL — Instrument Quantification Limit. L/G — Lactate-to-Glucose ratio; metabolic efficiency indicator. LIMS — Laboratory Information Management System. MCA — Method Change Assessment. NIST — National Institute of Standards and Technology. OOS — Out of Specification. OOT — Out of Trend. PI — Process Intensification batch designation. P/V — Power input per unit volume (W/m³); measure of mixing intensity and shear stress. QA — Quality Assurance. QP — Qualified Person. ROS — Reactive Oxygen Species. RTD — Resistance Temperature Detector. RSD — Relative Standard Deviation. SU — Scale-Up batch designation. SUB — Single-Use Bioreactor. TOC — Total Organic Carbon. TOI — Temporary Operating Instruction. WCB — Working Cell Bank. YSI — Yellow Springs Instrument.</w:t>
      </w:r>
    </w:p>
    <w:p/>
    <w:p>
      <w:pPr>
        <w:pStyle w:val="Heading2"/>
      </w:pPr>
      <w:r>
        <w:t>22. Raw Material Control and Testing Requirements</w:t>
      </w:r>
    </w:p>
    <w:p>
      <w:r>
        <w:t>All raw materials used in bioreactor harvest operations must be tested and released by Quality Control before use in GMP manufacturing. Raw material testing requirements are defined in the Raw Material Specification (RMS) for each material. Critical raw materials requiring full identity, purity, and endotoxin testing before each lot release include: cell culture media (Dulbecco's Modified Eagle Medium, Ham's F-12, or serum-free proprietary formulations), feed media (concentrated glucose solutions, amino acid supplements, lipid emulsions), sodium hydroxide (1M, sterile filtered, for pH control), sodium bicarbonate (for pH adjustment), phosphate buffered saline (sterile, endotoxin-tested), and working cell bank (WCB) vials. Cell culture media must be tested for: sterility (21-day compendial sterility test per USP &lt;71&gt;), mycoplasma (PCR-based method per USP &lt;63&gt;), endotoxin (LAL gel-clot or chromogenic method, limit ≤0.25 EU/mL), and pH (7.2–7.4 at 37°C, ±0.1 pH). Certificate of Analysis from the supplier must be reviewed and approved by QC before material release. Supplier qualification must be maintained per SOP-QA-SUPP-001, including annual audits or questionnaire-based assessment for critical material suppliers. Any change in raw material supplier, grade, or formulation requires formal change control assessment and re-qualification testing before the new material can be used in GMP manufacturing.</w:t>
        <w:br/>
        <w:br/>
        <w:t xml:space="preserve">     Water for injection (WFI) and purified water (PW) used in bioreactor operations must comply with USP &lt;1231&gt; water quality specifications. WFI: endotoxin ≤0.25 EU/mL, conductivity ≤1.3 µS/cm at 25°C, TOC ≤500 ppb, bioburden ≤10 CFU/100mL. WFI is tested daily from each point of use by the QC team. Purified water: conductivity ≤5.1 µS/cm, TOC ≤500 ppb, bioburden ≤100 CFU/mL. PW is tested weekly from points of use. Water system sanitisation cycles and sampling results must be reviewed quarterly at the Water System Review meeting.</w:t>
      </w:r>
    </w:p>
    <w:p/>
    <w:p>
      <w:pPr>
        <w:pStyle w:val="Heading2"/>
      </w:pPr>
      <w:r>
        <w:t>23. Cell Line Authentication and Working Cell Bank Management</w:t>
      </w:r>
    </w:p>
    <w:p>
      <w:r>
        <w:t>The cell line used for bioreactor manufacturing must be authenticated before establishment of the Master Cell Bank (MCB) and Working Cell Bank (WCB) through: karyotyping (for mammalian cell lines — acceptable range: diploid with clonal variation characteristic of the specific cell line), STR profiling (short tandem repeat analysis at a minimum of 16 loci, comparison against reference profile from MCB establishment), mycoplasma testing (negative by culture and PCR), adventitious agent testing (in vitro and in vivo virus testing per ICH Q5A), specific virus testing for known endogenous retroviruses or retroelements, and species identity confirmation by isoenzyme analysis. WCB vials are released for manufacturing use only after all cell bank characterisation testing is complete and approved. Each WCB vial used for a manufacturing run must be tracked by vial number, freeze-down date, passage number, and analyst in the batch record. The stability of the WCB under long-term liquid nitrogen storage must be confirmed by testing an accelerated stability programme vial at each Annual Product Review. Passage number from WCB to harvest must not exceed the limit established during cell line characterisation studies (typically ≤50 passages from MCB). Any vial showing growth kinetics deviating more than 20% from the historical average for that cell line must not be used for GMP manufacturing without scientific justification and QA approval.</w:t>
        <w:br/>
        <w:br/>
        <w:t xml:space="preserve">     Working cell bank vials are stored in vapour-phase liquid nitrogen (LN2) storage at ≤-150°C in redundant dewars with continuous temperature monitoring, alarm systems, and automated refill capabilities. Primary storage is Building 3, Suite 301; backup storage is Building 6, Suite 601 (geographically separated). Access to cell bank storage is restricted to authorised personnel. Temperature excursions in LN2 storage above -135°C for more than 2 hours trigger a batch-specific risk assessment for any WCB vials present in the affected dewar during the excursion.</w:t>
      </w:r>
    </w:p>
    <w:p/>
    <w:p>
      <w:pPr>
        <w:pStyle w:val="Heading2"/>
      </w:pPr>
      <w:r>
        <w:t>24. Process Validation — Lifecycle Approach</w:t>
      </w:r>
    </w:p>
    <w:p>
      <w:r>
        <w:t>Process validation for bioreactor harvest operations follows the lifecycle approach recommended by FDA Guidance for Industry (Process Validation: General Principles and Practices, 2011) and EMA Guideline on Process Validation for Finished Products (EMA/CHMP/CVMP/QWP/70149/2012). Stage 1 — Process Design: Definition of the design space for all CQAs listed in Section 3, including acceptable ranges and the relationship between process parameters and product quality attributes. Multivariate Design of Experiments (DoE) studies must be conducted to map the interaction effects of temperature, pH, DO, agitation, CO2, and nutrient feeding on CQA performance. Risk assessment using FMEA (Failure Mode Effects Analysis) must identify all high-risk process parameters and their acceptable operating ranges. Stage 2 — Process Qualification: Demonstration that the commercial-scale process consistently delivers product meeting all CQA specifications. A minimum of three consecutive validation batches at commercial scale are required, with all CQAs meeting acceptance criteria in all three batches. Protocol deviations during validation runs require scientific justification and QA approval before the batch can be considered for validation credit. Stage 3 — Continued Process Verification: Ongoing statistical monitoring of all CQA results for each commercial-scale batch using Statistical Process Control (SPC) methods including Shewhart control charts, CUSUM charts, and Cpk capability indices. Cpk must be ≥1.33 for all CQAs based on at least 30 consecutive commercial-scale batches. Annual formal process review incorporating all Stage 3 data must be presented to the Site Quality Council.</w:t>
      </w:r>
    </w:p>
    <w:p/>
    <w:p>
      <w:pPr>
        <w:pStyle w:val="Heading2"/>
      </w:pPr>
      <w:r>
        <w:t>25. Computer System Validation and Data Integrity</w:t>
      </w:r>
    </w:p>
    <w:p>
      <w:r>
        <w:t>All computerised systems used in bioreactor harvest operations — including the bioreactor Distributed Control System (DCS), LIMS, electronic batch record system, and environmental monitoring system — must be validated in accordance with the GAMP5 guide (Good Automated Manufacturing Practice) and 21 CFR Part 11 requirements for electronic records and electronic signatures. Computer system validation includes: user requirements specification (URS), risk assessment, functional specifications, design qualification (DQ), installation qualification (IQ), operational qualification (OQ), performance qualification (PQ), and ongoing performance monitoring. All electronic records generated during bioreactor operations must have: a secure audit trail capturing who made each data entry, the date and time of entry, and any changes to the original entry with the previous value preserved; restricted access with role-based permissions (operators cannot approve; QA can review and approve); data backup at minimum daily to a geographically separated server; and electronic signature functionality requiring user ID, password, and meaning of signature (review, approve, or verify). Data integrity must be maintained throughout the data lifecycle in accordance with ALCOA+ principles: Attributable, Legible, Contemporaneous, Original, Accurate, plus Complete, Consistent, Enduring, and Available. Data migration between systems must be validated to ensure no data loss or corruption. Periodic data integrity audits must be conducted by QA at least annually, with targeted spot-checks of raw data against batch records.</w:t>
      </w:r>
    </w:p>
    <w:p/>
    <w:p>
      <w:pPr>
        <w:pStyle w:val="Heading1"/>
      </w:pPr>
      <w:r>
        <w:t>Appendix C and D — Regulatory Framework and Statistical Control</w:t>
      </w:r>
    </w:p>
    <w:p>
      <w:r>
        <w:t>APPENDIX C — COMPLETE REGULATORY REFERENCE FRAMEWORK</w:t>
        <w:br/>
        <w:br/>
        <w:t>This appendix provides the complete regulatory reference framework applicable to bioreactor harvest operations at Excelra. All personnel must be familiar with the sections of these documents that are directly applicable to their role and responsibilities.</w:t>
        <w:br/>
        <w:br/>
        <w:t>ICH GUIDELINES APPLICABLE TO BIOREACTOR HARVEST:</w:t>
        <w:br/>
        <w:br/>
        <w:t>ICH Q2(R1) — Validation of Analytical Procedures: Text and Methodology. This guideline defines the characteristics that must be demonstrated during validation of analytical procedures used for quality control testing. For bioreactor harvest testing, the following characteristics are mandatory: Specificity — the ability of the method to assess unequivocally the analyte in the presence of components that may be expected to be present, including impurities, degradants, and matrix components. Specificity must be demonstrated by challenging the method with relevant interferents at realistic concentrations. Linearity — the ability to elicit test results that are directly proportional to the concentration of analyte in samples within a given range. A minimum of five concentration levels spanning the specification range with 20% extension above and below must be used. Linearity is assessed by linear regression analysis; the correlation coefficient R² must be ≥0.999. The y-intercept must not be statistically significantly different from zero (p&gt;0.05). Range — the interval between the upper and lower concentration levels for which the analytical procedure has been demonstrated to have a suitable level of precision, accuracy, and linearity. Accuracy — expressed as percent recovery of known added analyte (spiked samples), calculated as (measured value / theoretical value) × 100. Recovery must be within 98.0–102.0% at three concentration levels (low, mid, and high within the specification range). A minimum of three replicates at each level is required. Precision — measured at two levels: repeatability (six replicates at one concentration level by one analyst on one day, ≤2.0% RSD) and intermediate precision (same measurement protocol on at least two different days, by at least two different analysts, on at least two different instruments, ≤5.0% RSD overall). Detection limit and quantification limit must be demonstrated by signal-to-noise analysis or standard deviation of the response approach.</w:t>
        <w:br/>
        <w:br/>
        <w:t>ICH Q8(R2) — Pharmaceutical Development. This guideline establishes the concept of design space — the multidimensional combination and interaction of input variables (e.g., fermentation temperature, pH, dissolved oxygen) and process parameters that have been demonstrated to provide assurance of product quality. Operating within the design space is not considered a change requiring regulatory notification. Movement out of the design space requires regulatory submission. Enhanced development studies using Design of Experiments (DoE) must define the boundaries of the design space for all CQAs. The proven acceptable range (PAR) for each parameter must be defined and supported by development data.</w:t>
        <w:br/>
        <w:br/>
        <w:t>ICH Q9 — Quality Risk Management. Risk management must be applied throughout the product lifecycle. Formal risk assessments using FMEA, HACCP, or Fault Tree Analysis must identify all potential failure modes for the bioreactor harvest process. Each failure mode must be assigned: severity (impact on product quality or patient safety, 1–10 scale), occurrence (probability of the failure occurring, 1–10 scale), and detectability (ability to detect the failure before it reaches the patient, 1–10 scale). Risk Priority Numbers (RPN = Severity × Occurrence × Detectability) above 100 require mitigation actions. Risk assessments must be reviewed and updated whenever there is a significant process change, quality failure, or new regulatory guidance.</w:t>
        <w:br/>
        <w:br/>
        <w:t>ICH Q10 — Pharmaceutical Quality System. The pharmaceutical quality system must ensure that product quality and patient safety are maintained throughout the product lifecycle. Key PQS elements include: process performance and product quality monitoring (PPQM), CAPA system, change management, management review and continual improvement. The PPQM programme must include periodic review of all CQA data for trend analysis, comparison of results against specifications and historical norms, detection of adverse trends before they result in OOS results, and annual formal product quality review (APR/PQR).</w:t>
        <w:br/>
        <w:br/>
        <w:t>ICH Q11 — Development and Manufacture of Drug Substances. Applicable sections cover the selection of starting materials and intermediates, control strategy for drug substance manufacture, process validation, and comparability assessment. For biologics produced by cell culture, this guideline specifically addresses: cell line characterisation, cell banking procedures, upstream process development and characterisation, downstream process design and validation.</w:t>
        <w:br/>
        <w:br/>
        <w:t>21 CFR Part 211 — Current Good Manufacturing Practice for Finished Pharmaceuticals. Sections directly applicable to bioreactor harvest: Subpart F (Production and Process Controls) — §211.100 (written procedures; deviations); §211.101 (charge-in of components, drug product containers, and closures); §211.105 (equipment identification); §211.110 (sampling and testing of in-process materials and drug products); §211.111 (time limitations on production); §211.113 (control of microbiological contamination); §211.115 (reprocessing). Subpart G (Packaging and Labelling Control) — §211.130 through §211.137. Subpart J (Records and Reports) — §211.180 (general requirements); §211.182 (equipment cleaning and use log); §211.186 (master production and control records); §211.188 (batch production and control records); §211.192 (production record review); §211.194 (laboratory records).</w:t>
        <w:br/>
        <w:br/>
        <w:t>EU GMP ANNEX 1 — MANUFACTURE OF STERILE MEDICINAL PRODUCTS (2022 REVISION). The 2022 revision significantly expanded requirements for contamination control strategy (CCS). All sterile manufacturing facilities must have a documented CCS that is holistic, risk-based, and integrated across all aspects of manufacturing including design, materials, personnel, processes, utilities, monitoring, and quality systems. Key requirements applicable to bioreactor harvest: Section 4 (Premises) — cleanroom design, pressure differentials, air change rates; Section 5 (Equipment) — sterilisation validation, calibration; Section 8 (Production and Specific Technologies) — closed systems preferred; Section 9 (Environmental and Process Monitoring) — enhanced monitoring requirements, rapid microbiology methods encouraged; Section 10 (Quality Control) — parametric release criteria.</w:t>
        <w:br/>
        <w:br/>
        <w:t>APPENDIX D — COMPLETE PARAMETER REFERENCE WITH STATISTICAL CONTROL LIMITS</w:t>
        <w:br/>
        <w:br/>
        <w:t>Based on 36 months of historical manufacturing data (January 2023 – December 2025), the following statistical process control limits have been established for standard batch operations. Control limits are set at ±3 standard deviations from the process mean (99.73% coverage under normal distribution assumption). All Cpk values are based on the minimum of ((USL - mean) / 3σ) and ((mean - LSL) / 3σ).</w:t>
        <w:br/>
        <w:br/>
        <w:t>Fermentation_Temp_C: Process mean = 37.02°C, Standard deviation = 0.18°C, UCL = 37.56°C, LCL = 36.48°C, Cpk = 1.74. The high Cpk indicates a well-controlled parameter with ample margin from specification limits. No corrective action required until Cpk falls below 1.33.</w:t>
        <w:br/>
        <w:br/>
        <w:t>pH_Final: Process mean = 7.21, Standard deviation = 0.04, UCL = 7.33, LCL = 7.09, Cpk = 2.00. pH control is excellent with very low process variation relative to the specification range.</w:t>
        <w:br/>
        <w:br/>
        <w:t>Protein_Concentration: Process mean = 48.3 mg/mL, Standard deviation = 3.2 mg/mL, UCL = 57.9 mg/mL, LCL = 38.7 mg/mL, Cpk = 1.03. Note: Cpk approaching 1.33 minimum — process development review initiated to improve mean and/or reduce variation. Protein concentration is the most variable of all monitored parameters.</w:t>
        <w:br/>
        <w:br/>
        <w:t>Cell_Viability_Percent: Process mean = 85.4%, Standard deviation = 2.8%, LCL = 77.0%, Cpk = 1.95. No upper specification limit. Cell viability is well-controlled.</w:t>
        <w:br/>
        <w:br/>
        <w:t>Dissolved_O2_Saturation: Process mean = 38.5%, Standard deviation = 4.1%, UCL = 50.8%, LCL = 26.2%, Cpk = 1.14. DO control is acceptable but monitoring for potential improvement through cascade optimisation.</w:t>
        <w:br/>
        <w:br/>
        <w:t>CO2_Partial_Pressure_mmHg: Process mean = 42.3 mmHg, Standard deviation = 5.8 mmHg, UCL = 59.7 mmHg, LCL = 24.9 mmHg, Cpk = 1.00. CO2 is the most challenging parameter to control; improvement project underway.</w:t>
        <w:br/>
        <w:br/>
        <w:t>Glucose_Consumption_g_per_L: Process mean = 13.8 g/L, Standard deviation = 2.3 g/L, UCL = 20.7 g/L, LCL = 6.9 g/L, Cpk = 1.28. Approaching the lower Cpk minimum; feed strategy review planned for Q2 2026.</w:t>
        <w:br/>
        <w:br/>
        <w:t>Lactate_Production_mmol_per_L: Process mean = 16.2 mmol/L, Standard deviation = 3.1 mmol/L, UCL = 25.5 mmol/L (note: UCL exceeds specification — this indicates the distribution is skewed; transformation may be needed). Cpk = 0.94 based on raw data. Investigation ongoing.</w:t>
        <w:br/>
        <w:br/>
        <w:t>NH3_Concentration_mM: Process mean = 2.9 mM, Standard deviation = 0.5 mM, UCL = 4.4 mM, Cpk = 1.07. Ammonia is naturally right-skewed; log-transformation recommended for SPC charting.</w:t>
        <w:br/>
        <w:br/>
        <w:t>Osmolality_mOsm_per_kg: Process mean = 308 mOsm/kg, Standard deviation = 11 mOsm/kg, UCL = 341 mOsm/kg, LCL = 275 mOsm/kg, Cpk = 2.06. Osmolality is well-controlled within the specification range.</w:t>
        <w:br/>
        <w:br/>
        <w:t>Agitation_RPM: Process mean = 185 RPM, Standard deviation = 18 RPM, UCL = 239 RPM, LCL = 131 RPM, Cpk = 1.72. Agitation is well-controlled; the variation reflects intentional cascade adjustments for DO control.</w:t>
      </w:r>
    </w:p>
    <w:p>
      <w:pPr>
        <w:pStyle w:val="Heading1"/>
      </w:pPr>
      <w:r>
        <w:t>Appendix E and F — Batch Record Requirements and Examples</w:t>
      </w:r>
    </w:p>
    <w:p>
      <w:r>
        <w:t>APPENDIX E — COMPLETE BATCH RECORD REQUIREMENTS AND EXAMPLE ENTRIES</w:t>
        <w:br/>
        <w:br/>
        <w:t>This appendix defines the mandatory content of the batch manufacturing record (BMR) for bioreactor harvest operations. The BMR is a GMP primary document and must be completed in real time during manufacture. Retrospective completion of BMR entries without documented justification constitutes a data integrity violation. All entries must be made in the electronic batch record system (Benchling Manufacturing) using the current approved template (BMR-BH-2024-007-T, Version 2.1).</w:t>
        <w:br/>
        <w:br/>
        <w:t>SECTION 1 — IDENTIFICATION AND TRACEABILITY</w:t>
        <w:br/>
        <w:t>The following information must be captured before inoculation:</w:t>
        <w:br/>
        <w:t>Batch Number: assigned by the batch numbering system, format BR-YYYY-NNN (e.g., BR-2026-142). The batch number must be unique and must not be reused even if the batch is rejected.</w:t>
        <w:br/>
        <w:t>Product Name and Code: full INN name and internal product code from the approved product list.</w:t>
        <w:br/>
        <w:t>Manufacturing Date: date of inoculation (Day 0).</w:t>
        <w:br/>
        <w:t>Planned Harvest Date: calculated from inoculation date plus the approved culture duration.</w:t>
        <w:br/>
        <w:t>Vessel Identification: vessel number, type (stainless steel or single-use), working volume, and qualification status from the equipment qualification database.</w:t>
        <w:br/>
        <w:t>Working Cell Bank Vial: vial number, cell line designation (including CCA, SU, PI, HF batch type if applicable), passage number from WCB, and vial thaw date and time.</w:t>
        <w:br/>
        <w:t>Analyst-in-Charge: name, analyst code, training record verification date, and qualification level (Qualified Analyst or Trainee Analyst). IMPORTANT: If the Analyst-in-Charge is a Trainee Analyst, this must be flagged prominently in the batch record header, and the co-reviewing Senior Analyst name and code must be captured before the batch record is opened for data entry.</w:t>
        <w:br/>
        <w:t>Media Lot Numbers: lot numbers for all cell culture media, feed media, supplements, and buffer components, with expiry dates and release certificate references.</w:t>
        <w:br/>
        <w:t>Water for Injection Lot Reference: WFI source point, loop certification date, and most recent endotoxin and bioburden test results.</w:t>
        <w:br/>
        <w:br/>
        <w:t>SECTION 2 — EQUIPMENT SETUP AND CALIBRATION VERIFICATION</w:t>
        <w:br/>
        <w:t>Before inoculation, the following must be verified and documented:</w:t>
        <w:br/>
        <w:t>pH probe calibration: record standard lot numbers, buffer pH values, slope calculated (must be 95-105% of theoretical), and analyst signature.</w:t>
        <w:br/>
        <w:t>Temperature probe calibration: record reference thermometer serial number, calibration certificate reference, measured temperature at setpoint, and deviation from reference (must be ≤±0.2°C).</w:t>
        <w:br/>
        <w:t>Dissolved oxygen probe calibration: record zero-point calibration time, full-scale calibration time, analyst signature.</w:t>
        <w:br/>
        <w:t>CO2 probe calibration: record calibration gas certificate number, concentration, measured value, and percentage deviation (must be ≤±5%).</w:t>
        <w:br/>
        <w:t>Agitation verification: record actual measured RPM at setpoint using tachometer, deviation from setpoint (must be ≤±5 RPM).</w:t>
        <w:br/>
        <w:t>Peristaltic pump calibration: record calibration date, flow rates measured at minimum and maximum settings, and acceptance criteria (within ±2% of setpoint flow rate).</w:t>
        <w:br/>
        <w:br/>
        <w:t>SECTION 3 — DAILY IN-PROCESS MEASUREMENTS</w:t>
        <w:br/>
        <w:t>The following measurements must be recorded every 24 hours (±2 hours) during the culture:</w:t>
        <w:br/>
        <w:t>Date and time of sampling</w:t>
        <w:br/>
        <w:t>Analyst performing measurement and qualification level</w:t>
        <w:br/>
        <w:t>Cell density (viable cells per mL and total cells per mL from Vi-Cell XR)</w:t>
        <w:br/>
        <w:t>Cell_Viability_Percent (from Vi-Cell XR, duplicate measurements, calculated mean reported)</w:t>
        <w:br/>
        <w:t>Glucose concentration in bioreactor (from YSI 2950, mg/dL — convert to g/L for batch record)</w:t>
        <w:br/>
        <w:t>Lactate concentration in bioreactor (from YSI 2950, mmol/L)</w:t>
        <w:br/>
        <w:t>Ammonia concentration (NH3_Concentration_mM from YSI 2950)</w:t>
        <w:br/>
        <w:t>Inline pH at time of sampling (from bioreactor DCS, continuous data)</w:t>
        <w:br/>
        <w:t>Offline pH measurement (from benchtop pH meter, every 48 hours minimum)</w:t>
        <w:br/>
        <w:t>Dissolved oxygen percentage at time of sampling (from bioreactor DCS)</w:t>
        <w:br/>
        <w:t>CO2 partial pressure at time of sampling (from bioreactor DCS)</w:t>
        <w:br/>
        <w:t>Agitation rate at time of sampling (from bioreactor DCS, RPM)</w:t>
        <w:br/>
        <w:t>Fermentation temperature at time of sampling (from bioreactor DCS, °C)</w:t>
        <w:br/>
        <w:t>Feed additions since last sampling: volume of each feed, timestamp, and cumulative totals</w:t>
        <w:br/>
        <w:t>pH control additions since last sampling: volume of NaOH added, timestamps</w:t>
        <w:br/>
        <w:t>Any process events, alarms, or deviations during the previous 24 hours</w:t>
        <w:br/>
        <w:br/>
        <w:t>SECTION 4 — HARVEST MEASUREMENTS AND CALCULATIONS</w:t>
        <w:br/>
        <w:t>At the time of harvest (Day 14 ± 1 day for standard culture), the following final measurements must be recorded before harvest proceeds:</w:t>
        <w:br/>
        <w:t>Final inline Fermentation_Temp_C: recorded from DCS at time of harvest initiation. This is the value used for batch disposition — it must be within 36.0–37.8°C (or applicable exception range for CCA batches).</w:t>
        <w:br/>
        <w:t>Final inline pH: recorded from DCS at time of harvest initiation.</w:t>
        <w:br/>
        <w:t>Final offline pH: must be measured within 2 hours of harvest. Record meter serial number, calibration date, buffer lot numbers, measured value.</w:t>
        <w:br/>
        <w:t>Cell_Viability_Percent (final): duplicate Vi-Cell XR measurements as described above. This is the release value.</w:t>
        <w:br/>
        <w:t>Protein_Concentration: duplicate NanoDrop measurements. Record blank buffer used, extinction coefficient used, replicate values, and calculated mean.</w:t>
        <w:br/>
        <w:t>Final metabolite measurements (Glucose_Consumption_g_per_L, Lactate_Production_mmol_per_L, NH3_Concentration_mM): from YSI 2950 with calibration verification completed within 30 minutes of measurement.</w:t>
        <w:br/>
        <w:t>Final Osmolality_mOsm_per_kg: from Advanced Instruments osmometer with two-standard calibration completed within 60 minutes of measurement.</w:t>
        <w:br/>
        <w:t>Offline CO2 partial pressure (CO2_Partial_Pressure_mmHg): from Radiometer BGA within 60 minutes of harvest. This is the value used for batch disposition.</w:t>
        <w:br/>
        <w:t>Offline dissolved oxygen (Dissolved_O2_Saturation): from Radiometer BGA within 60 minutes of harvest.</w:t>
        <w:br/>
        <w:t>Agitation_RPM at harvest: from DCS at time of harvest initiation.</w:t>
        <w:br/>
        <w:t>Harvest volume: measured by load cell or calibrated sight glass, recorded in litres.</w:t>
        <w:br/>
        <w:t>Harvest temperature: bioreactor temperature at time of harvest, confirmed by independent thermocouple reading.</w:t>
        <w:br/>
        <w:br/>
        <w:t>SECTION 5 — IN-PROCESS HOLD AND QUALITY REVIEW</w:t>
        <w:br/>
        <w:t>After all harvest measurements are complete, the batch record enters the in-process quality review stage:</w:t>
        <w:br/>
        <w:t>Primary analyst review: the analyst-in-charge reviews all entries for completeness, accuracy, and compliance with specifications. Any out-of-specification results are flagged with the OOS number assigned by the deviation tracking system.</w:t>
        <w:br/>
        <w:t>Senior analyst co-review (mandatory for Trainee Analyst batches): the designated co-reviewing Senior Analyst reviews all entries, applies the 2 percentage point viability correction for Trainee Analyst disposition values, and co-signs the batch record.</w:t>
        <w:br/>
        <w:t>QA reviewer: qualified QA professional reviews batch record within 24 hours of harvest completion. Reviews include: completeness of all mandatory fields, calibration records within validity periods, process parameter compliance with specifications, any deviations referenced and assigned, and analyst training currency confirmed.</w:t>
        <w:br/>
        <w:t>Batch disposition decision: formally documented by QA with one of the following outcomes: Approved for downstream processing (all CQAs within specification or applicable approved exceptions documented and referenced); Quality Hold — pending investigation (one or more CQAs OOS, investigation ongoing); Rejected (OOS confirmed after investigation, no approvable exception exists).</w:t>
        <w:br/>
        <w:br/>
        <w:t>SECTION 6 — DEVIATION TRACKING AND CROSS-REFERENCES</w:t>
        <w:br/>
        <w:t>Any deviation from this SOP observed during the batch must be documented in the batch record with: deviation tracking number, brief description, immediate action taken, reference to the formal deviation record in the CAPA system, and QA notification timestamp. The batch record must cross-reference all relevant documents including: cell bank vial release certificate, raw material release certificates, calibration records, equipment qualification records, environmental monitoring results for the manufacturing period, and any Temporary Operating Instructions in effect during manufacture.</w:t>
        <w:br/>
        <w:br/>
        <w:t>APPENDIX F — SPECIMEN COMPLETED BATCH RECORD ENTRIES (ILLUSTRATIVE ONLY — NOT FOR USE AS TEMPLATES)</w:t>
        <w:br/>
        <w:br/>
        <w:t>The following examples illustrate correct BMR completion for standard and exception batches. These are illustrative examples only and must not be used as templates for actual batch records.</w:t>
        <w:br/>
        <w:br/>
        <w:t>Example 1 — Standard Batch, All Parameters In Specification:</w:t>
        <w:br/>
        <w:t>Batch Number: BR-2026-142. Batch Type: Standard. Vessel: V-401 (500L SS). Analyst: Analyst_A (Qualified). Inoculation: 01-Apr-2026, 08:00. Harvest: 15-Apr-2026, 09:15.</w:t>
        <w:br/>
        <w:t>Final Fermentation_Temp_C: 37.2°C. Specification: 36.0–37.8°C. Status: WITHIN SPECIFICATION.</w:t>
        <w:br/>
        <w:t>Final pH_Final (offline): 7.18. Specification: 6.95–7.45. Status: WITHIN SPECIFICATION.</w:t>
        <w:br/>
        <w:t>Protein_Concentration: Replicate 1: 45.8 mg/mL. Replicate 2: 44.9 mg/mL. Mean: 45.35 mg/mL. Difference: 1.9% (acceptable, &lt;3%). Specification: ≥42.0 mg/mL. Status: WITHIN SPECIFICATION.</w:t>
        <w:br/>
        <w:t>Cell_Viability_Percent: Replicate 1: 85.2%. Replicate 2: 84.9%. Mean: 85.05%. Difference: 0.3 pp (acceptable, &lt;3 pp). Specification: ≥80.0%. Status: WITHIN SPECIFICATION.</w:t>
        <w:br/>
        <w:t>Dissolved_O2_Saturation (BGA offline): 38.2%. Specification: 25.0–65.0%. Status: WITHIN SPECIFICATION.</w:t>
        <w:br/>
        <w:t>CO2_Partial_Pressure_mmHg (BGA offline): 42.1 mmHg. Specification: 20.0–60.0 mmHg. Status: WITHIN SPECIFICATION.</w:t>
        <w:br/>
        <w:t>Glucose_Consumption_g_per_L: 12.4 g/L. Specification: 8.0–20.0 g/L. Status: WITHIN SPECIFICATION.</w:t>
        <w:br/>
        <w:t>Lactate_Production_mmol_per_L: 18.2 mmol/L. Specification: ≤25.0 mmol/L. Status: WITHIN SPECIFICATION.</w:t>
        <w:br/>
        <w:t>NH3_Concentration_mM: 2.8 mM. Specification: ≤4.5 mM. Status: WITHIN SPECIFICATION.</w:t>
        <w:br/>
        <w:t>Osmolality_mOsm_per_kg: 305 mOsm/kg. Specification: 280–340 mOsm/kg. Status: WITHIN SPECIFICATION.</w:t>
        <w:br/>
        <w:t>Agitation_RPM: 185 RPM. Specification: 120–280 RPM. Status: WITHIN SPECIFICATION.</w:t>
        <w:br/>
        <w:t>Batch Disposition: APPROVED FOR DOWNSTREAM PROCESSING. QA Reviewer: [QA initials]. Date: 15-Apr-2026.</w:t>
        <w:br/>
        <w:br/>
        <w:t>Example 2 — CCA Batch with Temperature Exception:</w:t>
        <w:br/>
        <w:t>Batch Number: BR-2026-157. Batch Type: CCA (Cold-Chain Adapted). Exception Reference: QAD-2026-031.</w:t>
        <w:br/>
        <w:t>Final Fermentation_Temp_C: 35.1°C. Standard Specification: 36.0–37.8°C — OUT OF SPECIFICATION for standard batches. CCA Exception Specification: 34.0–36.5°C — WITHIN EXCEPTION SPECIFICATION. Exception applied per MOM-BH-2026-Q1-004 and approval QAD-2026-031, valid until Q3 2026.</w:t>
        <w:br/>
        <w:t>All other parameters within standard specification ranges.</w:t>
        <w:br/>
        <w:t>Batch Disposition: APPROVED — CCA temperature exception applied and documented. QA co-signature required.</w:t>
      </w:r>
    </w:p>
    <w:p>
      <w:pPr>
        <w:pStyle w:val="Heading1"/>
      </w:pPr>
      <w:r>
        <w:t>Appendices G, H, I — Training, Version History, Contacts</w:t>
      </w:r>
    </w:p>
    <w:p>
      <w:r>
        <w:t>APPENDIX G — TRAINING REQUIREMENTS AND COMPETENCY ASSESSMENT</w:t>
        <w:br/>
        <w:br/>
        <w:t>All personnel performing bioreactor harvest operations under this SOP must complete the following training programme before being authorised to work independently. Training records must be entered in the Learning Management System (LMS) within 24 hours of training completion and verified by the Training Coordinator before the analyst is added to the authorised user list.</w:t>
        <w:br/>
        <w:br/>
        <w:t>INITIAL QUALIFICATION PROGRAMME (mandatory for all new analysts):</w:t>
        <w:br/>
        <w:t>Module 1 — GMP Fundamentals (8 hours classroom + 4 hours assessment): Covers 21 CFR Part 211, EU GMP Annex 1, data integrity principles (ALCOA+), deviation reporting, CAPA system, change control, and batch record completion. Assessment: written examination with minimum passing score of 80%. Must be repeated if score below 80%. Maximum two attempts before retraining required.</w:t>
        <w:br/>
        <w:br/>
        <w:t>Module 2 — Bioreactor Operations Theory (4 hours classroom): Covers cell culture biology relevant to this SOP, process parameters and their relationships to product quality, CQA definitions, specification rationale, and exception management. Assessment: written examination with minimum passing score of 80%.</w:t>
        <w:br/>
        <w:br/>
        <w:t>Module 3 — Analytical Methods Practical (16 hours laboratory): Hands-on training with Vi-Cell XR (cell counting — 4 hours), YSI 2950 (metabolite analysis — 4 hours), NanoDrop 2000 (protein concentration — 4 hours), Advanced Instruments osmometer (4 hours). Each instrument training includes: instrument operation, calibration procedure, sample preparation, result interpretation, troubleshooting, and data recording. Assessment: practical demonstration of competency assessed by qualified Senior Analyst. Trainee must perform the complete procedure independently with results within ±5% of Senior Analyst reference values.</w:t>
        <w:br/>
        <w:br/>
        <w:t>Module 4 — Bioreactor Harvest Practical (minimum 5 supervised runs): Trainee performs all bioreactor harvest activities under direct supervision of a qualified Senior Analyst. Each supervised run is assessed against a competency checklist covering all mandatory BMR entries, measurement procedures, timing requirements, and QA notification procedures. Trainee achieves Qualified Analyst status only when: all 5 supervised runs completed, all competency checklist items rated as competent (not requiring guidance), and co-reviewing Senior Analyst provides written recommendation for independent status.</w:t>
        <w:br/>
        <w:br/>
        <w:t>ANNUAL REQUALIFICATION:</w:t>
        <w:br/>
        <w:t>All Qualified Analysts must complete annual requalification consisting of: review of current version of this SOP (signed acknowledgement in LMS), written examination on any sections changed since last qualification (minimum 80% pass), and one observed harvest with supervisor assessment. Requalification must be completed within 30 days of the SOP version change or the analyst's annual requalification due date, whichever is earlier.</w:t>
        <w:br/>
        <w:br/>
        <w:t>TRAINEE ANALYST DESIGNATION:</w:t>
        <w:br/>
        <w:t>Analysts who have completed Modules 1, 2, and 3 but not yet completed all 5 supervised runs are designated as Trainee Analysts. Trainee Analysts: must have a co-reviewing Senior Analyst co-sign all batch records they complete; must have the 2 percentage point viability correction applied as described in Section 6 of this SOP; must not independently make batch disposition decisions; must be identified by name in the batch record header and in any analytical results they generate. Current Trainee Analysts as of Q1 2026: Analyst_B (expected Qualified Analyst status: Q3 2026 upon completion of supervised runs 4 and 5).</w:t>
        <w:br/>
        <w:br/>
        <w:t>APPENDIX H — VERSION HISTORY AND CHANGE SUMMARY</w:t>
        <w:br/>
        <w:br/>
        <w:t>Version 1.0 — 01-Jan-2022: Initial release of SOP-BH-2024-007. Established base acceptance criteria for Fermentation_Temp_C (36.5–37.5°C), pH_Final (7.0–7.4), Protein_Concentration (≥40.0 mg/mL), Cell_Viability_Percent (≥82.0%), Dissolved_O2_Saturation (30–60%), CO2_Partial_Pressure_mmHg (25–55 mmHg), Glucose_Consumption_g_per_L (10–18 g/L), Lactate_Production_mmol_per_L (≤22.0), NH3_Concentration_mM (≤4.0), Osmolality_mOsm_per_kg (285–335), Agitation_RPM (130–270).</w:t>
        <w:br/>
        <w:br/>
        <w:t>Version 1.1 — 15-Jun-2022: Minor revision to Section 4 (pH control procedure) — added requirement for inline/offline pH comparison and maximum allowable deviation (0.10 pH units). Added peristaltic pump calibration to Appendix C. No changes to acceptance criteria.</w:t>
        <w:br/>
        <w:br/>
        <w:t>Version 1.2 — 01-Dec-2022: Updated cell viability specification from ≥82.0% to ≥80.0% based on process characterisation data demonstrating equivalent product quality at lower viability thresholds. Updated Protein_Concentration minimum from 40.0 to 42.0 mg/mL based on downstream purification optimisation data. Extended CO2 upper limit from 55 to 60 mmHg based on BGA vs inline probe equivalence study results.</w:t>
        <w:br/>
        <w:br/>
        <w:t>Version 2.0 — 15-Feb-2024: Major revision incorporating EU GMP Annex 1 (2022) requirements. Added Contamination Control Strategy references. Added Section 14 (Environmental Monitoring Programme) as a new section. Updated fermentation temperature specification to 36.0–37.8°C (widened from 36.5–37.5°C based on process validation data PVR-2023-007). Added CCA batch type temperature exception framework. Added SU batch type viability exception framework. Added PI batch type protein concentration exception framework. Added HF batch type osmolality exception framework. Added Trainee Analyst qualification requirements and conservative viability reporting policy. Appendices A–F added as new content. Total revision requires retraining assessment for all Qualified Analysts.</w:t>
        <w:br/>
        <w:br/>
        <w:t>Version 2.1 — 15-Feb-2025: Minor clarifications to Section 8 (CO2 management) regarding inline vs offline CO2 measurement discrepancy investigation trigger (changed from 20% to 15% for earlier detection). Updated Appendix C (calibration schedule) to reflect instrument fleet changes (replacement of pH900 meters with pH-Meter ProLine units in Q4 2024). Updated Appendix D (statistical control limits) based on expanded dataset (36 months vs previous 24 months). No changes to acceptance criteria.</w:t>
        <w:br/>
        <w:br/>
        <w:t>APPENDIX I — CONTACT LIST AND ESCALATION MATRIX</w:t>
        <w:br/>
        <w:br/>
        <w:t>For process deviations or quality events during bioreactor harvest operations, use the following escalation contacts:</w:t>
        <w:br/>
        <w:br/>
        <w:t>Immediate notification required (within 2 hours of detection):</w:t>
        <w:br/>
        <w:t>QA On-Call: extension 4444 (24/7)</w:t>
        <w:br/>
        <w:t>Site Quality Director: extension 1001 (business hours), mobile [stored in QA emergency contact list]</w:t>
        <w:br/>
        <w:t>Manufacturing Supervisor: extension 2020 (business hours), mobile [stored in manufacturing emergency contact list]</w:t>
        <w:br/>
        <w:br/>
        <w:t>Notification required within 24 hours:</w:t>
        <w:br/>
        <w:t>QA Manager: extension 1010</w:t>
        <w:br/>
        <w:t>Process Development Lead: extension 3030</w:t>
        <w:br/>
        <w:t>Analytical Sciences Manager: extension 3040</w:t>
        <w:br/>
        <w:br/>
        <w:t>For equipment failures:</w:t>
        <w:br/>
        <w:t>Engineering On-Call: extension 5555 (24/7)</w:t>
        <w:br/>
        <w:t>Bioreactor Vendor Service (Sartorius): +1-800-XXX-XXXX (service contract reference SC-2024-SAR-001)</w:t>
        <w:br/>
        <w:br/>
        <w:t>For regulatory queries:</w:t>
        <w:br/>
        <w:t>Regulatory Affairs: extension 1020 (business hours only)</w:t>
        <w:br/>
        <w:t>Legal/Compliance: extension 1030 (business hours only)</w:t>
      </w:r>
    </w:p>
    <w:p>
      <w:pPr>
        <w:pStyle w:val="Heading1"/>
      </w:pPr>
      <w:r>
        <w:t>Appendix J — Decision Guidance for Analysts</w:t>
      </w:r>
    </w:p>
    <w:p>
      <w:r>
        <w:t>APPENDIX J — FREQUENTLY ASKED QUESTIONS AND DECISION GUIDANCE</w:t>
        <w:br/>
        <w:br/>
        <w:t>This appendix provides guidance for common decision points encountered during bioreactor harvest operations. These are not a substitute for QA consultation but provide initial orientation for analysts.</w:t>
        <w:br/>
        <w:br/>
        <w:t>Q1: A result is 0.1 below the specification minimum. Is this automatically OOS?</w:t>
        <w:br/>
        <w:t>A: Yes. Any result below the specification minimum (or above the maximum) is OOS regardless of the magnitude of the deviation. The specification limits are absolute limits, not guidelines. Initiate OOS Phase 1 investigation immediately. Do not continue to the next process step without QA disposition of the OOS result.</w:t>
        <w:br/>
        <w:br/>
        <w:t>Q2: The inline pH reads 7.46 but the offline benchtop reads 7.39. Which value do I use for batch record?</w:t>
        <w:br/>
        <w:t>A: When inline and offline pH differ by more than 0.10 pH units, you must investigate the discrepancy before using either value. Check probe calibration records, look for any known probe fouling, and repeat the offline measurement with a fresh sample. The offline benchtop measurement is generally more accurate as it uses a freshly calibrated probe. Document the discrepancy and investigation in the batch record.</w:t>
        <w:br/>
        <w:br/>
        <w:t>Q3: The batch is designated CCA. Can I use the standard temperature range?</w:t>
        <w:br/>
        <w:t>A: No. CCA batches must be operated within 34.0–36.5°C per the MOM-BH-2026-Q1-004 exception. A CCA batch run at 37.0°C may have compromised cell viability and product quality due to the cold-adapted phenotype. Contact Process Development if a CCA batch inadvertently exceeds 36.5°C for more than 30 minutes.</w:t>
        <w:br/>
        <w:br/>
        <w:t>Q4: Analyst_B performed the cell viability measurement and got 82.0%. What value do I enter for disposition?</w:t>
        <w:br/>
        <w:t>A: Analyst_B is a Trainee Analyst. The conservative 2 percentage point correction applies. The value entered for batch disposition purposes is 82.0 - 2.0 = 80.0%. This meets the minimum specification of ≥80.0% exactly. Note: the raw measured value (82.0%) must also be recorded in the batch record alongside the corrected disposition value (80.0%), with the correction formula and reference documented.</w:t>
        <w:br/>
        <w:br/>
        <w:t>Q5: CO2 reads 63 mmHg — just above the 60 mmHg limit. Is this OOS?</w:t>
        <w:br/>
        <w:t>A: Yes, 63 mmHg exceeds the 60 mmHg maximum and is OOS. Initiate OOS investigation. Do not attempt to explain away the value because it is "close to the limit." Confirm the BGA calibration is current and repeat the measurement. If confirmed OOS, the batch enters quality hold.</w:t>
        <w:br/>
        <w:br/>
        <w:t>Q6: I missed the 24-hour ±2-hour window for daily in-process measurement. What do I do?</w:t>
        <w:br/>
        <w:t>A: Document the actual time of measurement and the reason for the delay in the batch record. Notify QA and the Manufacturing Supervisor. The late measurement still provides useful process monitoring data and must be recorded. Systematic late measurements (same time every day, consistently outside the ±2-hour window) require a process review.</w:t>
        <w:br/>
        <w:br/>
        <w:t>Q7: The harvest volume seems lower than expected — should I document this?</w:t>
        <w:br/>
        <w:t>A: Yes. Any unexpected observation during harvest, including anomalous volumes, unusual appearance, foaming, unexpected colour or turbidity, must be documented in the batch record, even if within specification. Anomalies that are within specification are opportunities for process learning; anomalies that are also OOS are deviation events.</w:t>
      </w:r>
    </w:p>
    <w:p>
      <w:pPr>
        <w:pStyle w:val="Heading1"/>
      </w:pPr>
      <w:r>
        <w:t>Appendix K — Specification Rationale Summary</w:t>
      </w:r>
    </w:p>
    <w:p>
      <w:r>
        <w:t>Each CQA specification has a documented scientific rationale based on process characterisation data, regulatory guidance, and clinical or non-clinical safety data. This appendix summarises the rationale for each parameter specification limit.</w:t>
        <w:br/>
        <w:br/>
        <w:t>Fermentation_Temp_C (36.0–37.8°C): The lower limit of 36.0°C ensures adequate enzymatic activity for cell growth and recombinant protein expression. Below 35°C, specific productivity of CHO cell lines typically decreases more than 30% (internal data PCD-2024-011). The upper limit of 37.8°C reflects the maximum temperature at which cell viability is maintained above 80% in the specific production cell line; above 38°C, heat shock responses are activated that alter glycosylation patterns and reduce product quality. The ±0.4°C margin from the standard 37.0°C setpoint accommodates normal jacket temperature control variation.</w:t>
        <w:br/>
        <w:br/>
        <w:t>pH_Final (6.95–7.45): Intracellular pH of mammalian cells is maintained at approximately 7.2 through active proton transport mechanisms. Extracellular pH below 6.9 impairs proton export, causing intracellular acidification that reduces metabolic activity and specific productivity. pH above 7.5 causes intracellular alkalinisation affecting enzyme kinetics. The 6.95–7.45 range was established during process development to maintain cell specific productivity within 15% of maximum while providing ±0.25 pH units control margin around the 7.20 setpoint.</w:t>
        <w:br/>
        <w:br/>
        <w:t>Protein_Concentration (≥42.0 mg/mL): The minimum of 42.0 mg/mL was established based on downstream purification column loading capacity calculations to ensure consistent yield through chromatography steps at the validated column loading ratio. Below 42.0 mg/mL, the harvest volume required to load the column at the validated ratio exceeds the validated maximum feed volume for the chromatography column, potentially compromising purification performance. Internal study INT-2023-045 demonstrated acceptable downstream performance at concentrations as low as 38.0 mg/mL with modified column loading — this data supports the PI batch exception (≥35.0 mg/mL) when combined with high viability.</w:t>
        <w:br/>
        <w:br/>
        <w:t>Cell_Viability_Percent (≥80.0%): Cell viability below 80% is associated with increased release of intracellular proteases that can degrade the target recombinant protein, increased host cell protein (HCP) contamination of the harvest (HCP loads above 500,000 ng/mg are associated with viability below 75%), and altered glycosylation profiles. The 80% minimum was validated by correlating viability with downstream product quality attributes in process characterisation study PCD-2023-007 (n=24 batches). Viability 80–84%: all product quality attributes within specification. Viability 75–79%: HCP elevated (&gt;300,000 ng/mg) in 6/24 batches — increased risk requiring additional QA review.</w:t>
        <w:br/>
        <w:br/>
        <w:t>Dissolved_O2_Saturation (25–65%): Below 25% saturation (pO2 &lt; 36 mmHg), cells experience hypoxic stress with upregulation of HIF-1α pathway, altered metabolism (increased lactate production), and reduced specific productivity. Above 65% saturation (pO2 &gt; 97 mmHg), reactive oxygen species generation increases, causing oxidative damage to cell membranes and potential oxidation of methionine and cysteine residues in the target protein.</w:t>
        <w:br/>
        <w:br/>
        <w:t>CO2_Partial_Pressure_mmHg (20–60 mmHg): Below 20 mmHg, CO2 loss causes culture alkalinisation (pH drift) and may limit carbonate availability for metabolic buffering. Above 60 mmHg, intracellular pH drops due to CO2 diffusion across the cell membrane; pCO2 above 100 mmHg for extended periods causes irreversible cell damage and altered glycan processing.</w:t>
        <w:br/>
        <w:br/>
        <w:t>Glucose_Consumption_g_per_L (8–20 g/L): These limits define the metabolic efficiency window for the production cell line. Below 8 g/L consumption indicates insufficient nutrient availability or impaired metabolic activity (both problematic). Above 20 g/L indicates excessive glucose consumption relative to biomass (overflow metabolism — wasteful and associated with high lactate production). The range was established empirically over 48 batches during process characterisation.</w:t>
        <w:br/>
        <w:br/>
        <w:t>Osmolality_mOsm_per_kg (280–340 mOsm/kg): The physiological osmolality range for CHO cells is 280–320 mOsm/kg. The upper limit of 340 mOsm/kg provides a 20 mOsm/kg buffer above the physiological maximum. Above 340 mOsm/kg, cell growth rate decreases and apoptosis increases. Below 280 mOsm/kg, hypo-osmotic stress causes cell swelling and membrane disruption.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