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B33CC" w14:textId="62D4DAC9" w:rsidR="006D1BC3" w:rsidRPr="006D1BC3" w:rsidRDefault="006D1BC3" w:rsidP="006D1BC3"/>
    <w:p w14:paraId="133F1711" w14:textId="47E75C65" w:rsidR="006D1BC3" w:rsidRPr="006D1BC3" w:rsidRDefault="006D1BC3" w:rsidP="006D1BC3">
      <w:r w:rsidRPr="006D1BC3">
        <w:rPr>
          <w:b/>
          <w:bCs/>
        </w:rPr>
        <w:t>TO:</w:t>
      </w:r>
      <w:r w:rsidRPr="006D1BC3">
        <w:t xml:space="preserve"> VP of Customer Retention</w:t>
      </w:r>
      <w:r w:rsidRPr="006D1BC3">
        <w:br/>
      </w:r>
      <w:r w:rsidRPr="006D1BC3">
        <w:rPr>
          <w:b/>
          <w:bCs/>
        </w:rPr>
        <w:t>FROM:</w:t>
      </w:r>
      <w:r w:rsidRPr="006D1BC3">
        <w:t xml:space="preserve"> Janhavi </w:t>
      </w:r>
      <w:r>
        <w:t>Mana</w:t>
      </w:r>
      <w:r w:rsidRPr="006D1BC3">
        <w:br/>
      </w:r>
      <w:r w:rsidRPr="006D1BC3">
        <w:rPr>
          <w:b/>
          <w:bCs/>
        </w:rPr>
        <w:t>DATE:</w:t>
      </w:r>
      <w:r w:rsidRPr="006D1BC3">
        <w:t xml:space="preserve"> </w:t>
      </w:r>
      <w:r>
        <w:t>9/10/2026</w:t>
      </w:r>
      <w:r w:rsidRPr="006D1BC3">
        <w:br/>
      </w:r>
      <w:r w:rsidRPr="006D1BC3">
        <w:rPr>
          <w:b/>
          <w:bCs/>
        </w:rPr>
        <w:t>RE:</w:t>
      </w:r>
      <w:r w:rsidRPr="006D1BC3">
        <w:t xml:space="preserve"> Customer Churn — Findings &amp; Recommendations</w:t>
      </w:r>
    </w:p>
    <w:p w14:paraId="7664A7B0" w14:textId="77777777" w:rsidR="006D1BC3" w:rsidRPr="006D1BC3" w:rsidRDefault="006D1BC3" w:rsidP="006D1BC3">
      <w:r w:rsidRPr="006D1BC3">
        <w:rPr>
          <w:b/>
          <w:bCs/>
        </w:rPr>
        <w:t>THE PROBLEM</w:t>
      </w:r>
    </w:p>
    <w:p w14:paraId="0E81F3D7" w14:textId="77777777" w:rsidR="006D1BC3" w:rsidRPr="006D1BC3" w:rsidRDefault="006D1BC3" w:rsidP="006D1BC3">
      <w:r w:rsidRPr="006D1BC3">
        <w:t xml:space="preserve">We are losing approximately </w:t>
      </w:r>
      <w:r w:rsidRPr="006D1BC3">
        <w:rPr>
          <w:b/>
          <w:bCs/>
        </w:rPr>
        <w:t>26.5% of our customers</w:t>
      </w:r>
      <w:r w:rsidRPr="006D1BC3">
        <w:t xml:space="preserve"> — roughly 1 in every 4. This is a significant, ongoing revenue leak, and the drivers behind it are not random: they cluster around specific, identifiable customer segments and behaviors, meaning this is addressable through targeted action rather than broad, unfocused retention spending.</w:t>
      </w:r>
    </w:p>
    <w:p w14:paraId="2A743DF9" w14:textId="77777777" w:rsidR="006D1BC3" w:rsidRPr="006D1BC3" w:rsidRDefault="006D1BC3" w:rsidP="006D1BC3">
      <w:r w:rsidRPr="006D1BC3">
        <w:rPr>
          <w:b/>
          <w:bCs/>
        </w:rPr>
        <w:t>KEY DRIVERS</w:t>
      </w:r>
    </w:p>
    <w:p w14:paraId="487A3C25" w14:textId="77777777" w:rsidR="006D1BC3" w:rsidRPr="006D1BC3" w:rsidRDefault="006D1BC3" w:rsidP="006D1BC3">
      <w:r w:rsidRPr="006D1BC3">
        <w:t>Analysis of our customer base identified four factors most strongly linked to churn, each statistically confirmed (not due to chance):</w:t>
      </w:r>
    </w:p>
    <w:p w14:paraId="1462243F" w14:textId="77777777" w:rsidR="006D1BC3" w:rsidRPr="006D1BC3" w:rsidRDefault="006D1BC3" w:rsidP="006D1BC3">
      <w:pPr>
        <w:numPr>
          <w:ilvl w:val="0"/>
          <w:numId w:val="1"/>
        </w:numPr>
      </w:pPr>
      <w:r w:rsidRPr="006D1BC3">
        <w:rPr>
          <w:b/>
          <w:bCs/>
        </w:rPr>
        <w:t>Contract flexibility:</w:t>
      </w:r>
      <w:r w:rsidRPr="006D1BC3">
        <w:t xml:space="preserve"> Customers on month-to-month contracts churn at </w:t>
      </w:r>
      <w:r w:rsidRPr="006D1BC3">
        <w:rPr>
          <w:b/>
          <w:bCs/>
        </w:rPr>
        <w:t>42.7%</w:t>
      </w:r>
      <w:r w:rsidRPr="006D1BC3">
        <w:t xml:space="preserve">, compared to just </w:t>
      </w:r>
      <w:r w:rsidRPr="006D1BC3">
        <w:rPr>
          <w:b/>
          <w:bCs/>
        </w:rPr>
        <w:t>2.8%</w:t>
      </w:r>
      <w:r w:rsidRPr="006D1BC3">
        <w:t xml:space="preserve"> for two-year contracts — a 15x difference. Contract length is our single strongest churn signal.</w:t>
      </w:r>
    </w:p>
    <w:p w14:paraId="14153F55" w14:textId="77777777" w:rsidR="006D1BC3" w:rsidRPr="006D1BC3" w:rsidRDefault="006D1BC3" w:rsidP="006D1BC3">
      <w:pPr>
        <w:numPr>
          <w:ilvl w:val="0"/>
          <w:numId w:val="1"/>
        </w:numPr>
      </w:pPr>
      <w:r w:rsidRPr="006D1BC3">
        <w:rPr>
          <w:b/>
          <w:bCs/>
        </w:rPr>
        <w:t>Payment friction:</w:t>
      </w:r>
      <w:r w:rsidRPr="006D1BC3">
        <w:t xml:space="preserve"> Customers paying via electronic check churn at </w:t>
      </w:r>
      <w:r w:rsidRPr="006D1BC3">
        <w:rPr>
          <w:b/>
          <w:bCs/>
        </w:rPr>
        <w:t>45.3%</w:t>
      </w:r>
      <w:r w:rsidRPr="006D1BC3">
        <w:t>, roughly 3x higher than any other payment method (all other methods sit between 15–19%).</w:t>
      </w:r>
    </w:p>
    <w:p w14:paraId="0E2B6D6F" w14:textId="77777777" w:rsidR="006D1BC3" w:rsidRPr="006D1BC3" w:rsidRDefault="006D1BC3" w:rsidP="006D1BC3">
      <w:pPr>
        <w:numPr>
          <w:ilvl w:val="0"/>
          <w:numId w:val="1"/>
        </w:numPr>
      </w:pPr>
      <w:r w:rsidRPr="006D1BC3">
        <w:rPr>
          <w:b/>
          <w:bCs/>
        </w:rPr>
        <w:t>Early tenure:</w:t>
      </w:r>
      <w:r w:rsidRPr="006D1BC3">
        <w:t xml:space="preserve"> Customers in their first 12 months churn at </w:t>
      </w:r>
      <w:r w:rsidRPr="006D1BC3">
        <w:rPr>
          <w:b/>
          <w:bCs/>
        </w:rPr>
        <w:t>48.3%</w:t>
      </w:r>
      <w:r w:rsidRPr="006D1BC3">
        <w:t>, nearly 3x the rate of established customers (17.5%). Nearly half of new customers don't make it past their first year.</w:t>
      </w:r>
    </w:p>
    <w:p w14:paraId="3311EEBA" w14:textId="77777777" w:rsidR="006D1BC3" w:rsidRPr="006D1BC3" w:rsidRDefault="006D1BC3" w:rsidP="006D1BC3">
      <w:pPr>
        <w:numPr>
          <w:ilvl w:val="0"/>
          <w:numId w:val="1"/>
        </w:numPr>
      </w:pPr>
      <w:r w:rsidRPr="006D1BC3">
        <w:rPr>
          <w:b/>
          <w:bCs/>
        </w:rPr>
        <w:t>Internet service type:</w:t>
      </w:r>
      <w:r w:rsidRPr="006D1BC3">
        <w:t xml:space="preserve"> Fiber optic customers churn at </w:t>
      </w:r>
      <w:r w:rsidRPr="006D1BC3">
        <w:rPr>
          <w:b/>
          <w:bCs/>
        </w:rPr>
        <w:t>41.9%</w:t>
      </w:r>
      <w:r w:rsidRPr="006D1BC3">
        <w:t>, more than double DSL customers (19.0%), suggesting possible dissatisfaction with pricing, reliability, or perceived value of the fiber product specifically.</w:t>
      </w:r>
    </w:p>
    <w:p w14:paraId="52002046" w14:textId="77777777" w:rsidR="006D1BC3" w:rsidRPr="006D1BC3" w:rsidRDefault="006D1BC3" w:rsidP="006D1BC3">
      <w:r w:rsidRPr="006D1BC3">
        <w:rPr>
          <w:b/>
          <w:bCs/>
        </w:rPr>
        <w:t>RECOMMENDATION</w:t>
      </w:r>
    </w:p>
    <w:p w14:paraId="69E2FAF0" w14:textId="77777777" w:rsidR="006D1BC3" w:rsidRPr="006D1BC3" w:rsidRDefault="006D1BC3" w:rsidP="006D1BC3">
      <w:pPr>
        <w:numPr>
          <w:ilvl w:val="0"/>
          <w:numId w:val="2"/>
        </w:numPr>
      </w:pPr>
      <w:r w:rsidRPr="006D1BC3">
        <w:rPr>
          <w:b/>
          <w:bCs/>
        </w:rPr>
        <w:t>Incentivize longer commitments:</w:t>
      </w:r>
      <w:r w:rsidRPr="006D1BC3">
        <w:t xml:space="preserve"> Offer a meaningful discount or added-value bundle for customers switching from month-to-month to 1- or 2-year contracts, prioritizing customers currently in their first 12 months (our highest-risk window).</w:t>
      </w:r>
    </w:p>
    <w:p w14:paraId="43C1BD67" w14:textId="77777777" w:rsidR="006D1BC3" w:rsidRPr="006D1BC3" w:rsidRDefault="006D1BC3" w:rsidP="006D1BC3">
      <w:pPr>
        <w:numPr>
          <w:ilvl w:val="0"/>
          <w:numId w:val="2"/>
        </w:numPr>
      </w:pPr>
      <w:r w:rsidRPr="006D1BC3">
        <w:rPr>
          <w:b/>
          <w:bCs/>
        </w:rPr>
        <w:t>Address early-tenure experience:</w:t>
      </w:r>
      <w:r w:rsidRPr="006D1BC3">
        <w:t xml:space="preserve"> Given nearly half of new customers churn within a year, introduce proactive onboarding check-ins or early-tenure support outreach in months 1–3, when intervention is likely most effective.</w:t>
      </w:r>
    </w:p>
    <w:p w14:paraId="7A8BE7B0" w14:textId="77777777" w:rsidR="006D1BC3" w:rsidRPr="006D1BC3" w:rsidRDefault="006D1BC3" w:rsidP="006D1BC3">
      <w:pPr>
        <w:numPr>
          <w:ilvl w:val="0"/>
          <w:numId w:val="2"/>
        </w:numPr>
      </w:pPr>
      <w:r w:rsidRPr="006D1BC3">
        <w:rPr>
          <w:b/>
          <w:bCs/>
        </w:rPr>
        <w:t>Investigate electronic check friction:</w:t>
      </w:r>
      <w:r w:rsidRPr="006D1BC3">
        <w:t xml:space="preserve"> The payment method gap is unusually large and warrants direct customer feedback — this may point to a billing/UX issue rather than a customer-quality issue, and could be a relatively low-cost fix.</w:t>
      </w:r>
    </w:p>
    <w:p w14:paraId="644451E2" w14:textId="77777777" w:rsidR="006D1BC3" w:rsidRPr="006D1BC3" w:rsidRDefault="006D1BC3" w:rsidP="006D1BC3">
      <w:pPr>
        <w:numPr>
          <w:ilvl w:val="0"/>
          <w:numId w:val="2"/>
        </w:numPr>
      </w:pPr>
      <w:r w:rsidRPr="006D1BC3">
        <w:rPr>
          <w:b/>
          <w:bCs/>
        </w:rPr>
        <w:t>Review fiber optic service satisfaction:</w:t>
      </w:r>
      <w:r w:rsidRPr="006D1BC3">
        <w:t xml:space="preserve"> Given fiber's high churn despite being a premium service, a targeted customer satisfaction survey for this segment would help clarify whether this is a pricing, reliability, or competitive issue.</w:t>
      </w:r>
    </w:p>
    <w:p w14:paraId="2C062A30" w14:textId="77777777" w:rsidR="006D1BC3" w:rsidRPr="006D1BC3" w:rsidRDefault="006D1BC3" w:rsidP="006D1BC3">
      <w:r w:rsidRPr="006D1BC3">
        <w:rPr>
          <w:b/>
          <w:bCs/>
        </w:rPr>
        <w:lastRenderedPageBreak/>
        <w:t>CONFIDENCE</w:t>
      </w:r>
    </w:p>
    <w:p w14:paraId="038D3A2C" w14:textId="77777777" w:rsidR="006D1BC3" w:rsidRPr="006D1BC3" w:rsidRDefault="006D1BC3" w:rsidP="006D1BC3">
      <w:r w:rsidRPr="006D1BC3">
        <w:t>All four relationships above were statistically validated using chi-square testing (p &lt; 0.05 in every case, with several results far below that threshold), confirming these are genuine patterns in customer behavior — not artifacts of random sampling. Findings were independently cross-checked across SQL, Python, Power BI, and Excel, with consistent results in every tool.</w:t>
      </w:r>
    </w:p>
    <w:p w14:paraId="27065460" w14:textId="77777777" w:rsidR="008B6E6B" w:rsidRDefault="008B6E6B"/>
    <w:sectPr w:rsidR="008B6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8186E"/>
    <w:multiLevelType w:val="multilevel"/>
    <w:tmpl w:val="D226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848A5"/>
    <w:multiLevelType w:val="multilevel"/>
    <w:tmpl w:val="654A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8312924">
    <w:abstractNumId w:val="1"/>
  </w:num>
  <w:num w:numId="2" w16cid:durableId="140271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C3"/>
    <w:rsid w:val="002E2D2F"/>
    <w:rsid w:val="00471C14"/>
    <w:rsid w:val="006D1BC3"/>
    <w:rsid w:val="008B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44E89"/>
  <w15:chartTrackingRefBased/>
  <w15:docId w15:val="{9193C151-85CA-4057-953E-54870181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B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 mana</dc:creator>
  <cp:keywords/>
  <dc:description/>
  <cp:lastModifiedBy>janhavi mana</cp:lastModifiedBy>
  <cp:revision>1</cp:revision>
  <dcterms:created xsi:type="dcterms:W3CDTF">2026-09-10T10:19:00Z</dcterms:created>
  <dcterms:modified xsi:type="dcterms:W3CDTF">2026-09-10T10:23:00Z</dcterms:modified>
</cp:coreProperties>
</file>