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9B8CDA" w14:textId="0FA55B27" w:rsidR="00B1726F" w:rsidRPr="00B1726F" w:rsidRDefault="00B1726F" w:rsidP="00B1726F">
      <w:pPr>
        <w:pStyle w:val="Title"/>
        <w:jc w:val="center"/>
        <w:rPr>
          <w:u w:val="single"/>
        </w:rPr>
      </w:pPr>
      <w:r w:rsidRPr="00B1726F">
        <w:rPr>
          <w:u w:val="single"/>
        </w:rPr>
        <w:t>Sequence to Read Docs</w:t>
      </w:r>
    </w:p>
    <w:p w14:paraId="0C00E868" w14:textId="77777777" w:rsidR="00B1726F" w:rsidRDefault="00B1726F" w:rsidP="00B1726F"/>
    <w:p w14:paraId="47A72B10" w14:textId="50774E3A" w:rsidR="00B1726F" w:rsidRPr="00B1726F" w:rsidRDefault="00B1726F" w:rsidP="00B1726F">
      <w:r w:rsidRPr="00B1726F">
        <w:t>That is the smartest way to start. Jumping straight into code before understanding the full architecture usually leads to painful integration bugs later, especially on a tightly scheduled hackathon.</w:t>
      </w:r>
    </w:p>
    <w:p w14:paraId="732BD475" w14:textId="77777777" w:rsidR="00B1726F" w:rsidRPr="00B1726F" w:rsidRDefault="00B1726F" w:rsidP="00B1726F">
      <w:r w:rsidRPr="00B1726F">
        <w:t>Here is the most logical sequence to read the documentation, moving from the high-level vision down to your specific daily tasks:</w:t>
      </w:r>
    </w:p>
    <w:p w14:paraId="73828FED" w14:textId="77777777" w:rsidR="00B1726F" w:rsidRPr="00B1726F" w:rsidRDefault="00B1726F" w:rsidP="00B1726F">
      <w:pPr>
        <w:rPr>
          <w:b/>
          <w:bCs/>
        </w:rPr>
      </w:pPr>
      <w:r w:rsidRPr="00B1726F">
        <w:rPr>
          <w:b/>
          <w:bCs/>
        </w:rPr>
        <w:t>1. Product Requirements Document (PRD)</w:t>
      </w:r>
    </w:p>
    <w:p w14:paraId="72D86803" w14:textId="77777777" w:rsidR="00B1726F" w:rsidRPr="00B1726F" w:rsidRDefault="00B1726F" w:rsidP="00B1726F">
      <w:pPr>
        <w:numPr>
          <w:ilvl w:val="0"/>
          <w:numId w:val="1"/>
        </w:numPr>
      </w:pPr>
      <w:r w:rsidRPr="00B1726F">
        <w:rPr>
          <w:b/>
          <w:bCs/>
        </w:rPr>
        <w:t>Why read it first:</w:t>
      </w:r>
      <w:r w:rsidRPr="00B1726F">
        <w:t xml:space="preserve"> It gives you the "Why" and the "What." You need to understand the core problem Net-Neutral AI solves (the centralization of AI compute). </w:t>
      </w:r>
    </w:p>
    <w:p w14:paraId="731B3119" w14:textId="77777777" w:rsidR="00B1726F" w:rsidRPr="00B1726F" w:rsidRDefault="00B1726F" w:rsidP="00B1726F">
      <w:pPr>
        <w:numPr>
          <w:ilvl w:val="0"/>
          <w:numId w:val="1"/>
        </w:numPr>
      </w:pPr>
      <w:r w:rsidRPr="00B1726F">
        <w:rPr>
          <w:b/>
          <w:bCs/>
        </w:rPr>
        <w:t>What to focus on:</w:t>
      </w:r>
      <w:r w:rsidRPr="00B1726F">
        <w:t xml:space="preserve"> Look closely at the "Success Metrics" and what the judges will be evaluating. It sets the boundaries for what is in scope and, just as importantly, what is explicitly out of scope for the demo. </w:t>
      </w:r>
    </w:p>
    <w:p w14:paraId="75378F94" w14:textId="77777777" w:rsidR="00B1726F" w:rsidRPr="00B1726F" w:rsidRDefault="00B1726F" w:rsidP="00B1726F">
      <w:pPr>
        <w:rPr>
          <w:b/>
          <w:bCs/>
        </w:rPr>
      </w:pPr>
      <w:r w:rsidRPr="00B1726F">
        <w:rPr>
          <w:b/>
          <w:bCs/>
        </w:rPr>
        <w:t>2. Technical Requirements Document (TRD)</w:t>
      </w:r>
    </w:p>
    <w:p w14:paraId="6F8C1893" w14:textId="77777777" w:rsidR="00B1726F" w:rsidRPr="00B1726F" w:rsidRDefault="00B1726F" w:rsidP="00B1726F">
      <w:pPr>
        <w:numPr>
          <w:ilvl w:val="0"/>
          <w:numId w:val="2"/>
        </w:numPr>
      </w:pPr>
      <w:r w:rsidRPr="00B1726F">
        <w:rPr>
          <w:b/>
          <w:bCs/>
        </w:rPr>
        <w:t>Why read it second:</w:t>
      </w:r>
      <w:r w:rsidRPr="00B1726F">
        <w:t xml:space="preserve"> This translates the PRD's vision into actual system architecture. </w:t>
      </w:r>
    </w:p>
    <w:p w14:paraId="6C97AA53" w14:textId="77777777" w:rsidR="00B1726F" w:rsidRPr="00B1726F" w:rsidRDefault="00B1726F" w:rsidP="00B1726F">
      <w:pPr>
        <w:numPr>
          <w:ilvl w:val="0"/>
          <w:numId w:val="2"/>
        </w:numPr>
      </w:pPr>
      <w:r w:rsidRPr="00B1726F">
        <w:rPr>
          <w:b/>
          <w:bCs/>
        </w:rPr>
        <w:t>What to focus on:</w:t>
      </w:r>
      <w:r w:rsidRPr="00B1726F">
        <w:t xml:space="preserve"> Pay specific attention to </w:t>
      </w:r>
      <w:r w:rsidRPr="00B1726F">
        <w:rPr>
          <w:b/>
          <w:bCs/>
        </w:rPr>
        <w:t>Section 5 (Client Technical Specification)</w:t>
      </w:r>
      <w:r w:rsidRPr="00B1726F">
        <w:t xml:space="preserve"> and </w:t>
      </w:r>
      <w:r w:rsidRPr="00B1726F">
        <w:rPr>
          <w:b/>
          <w:bCs/>
        </w:rPr>
        <w:t>Section 7 (Network Technical Specification)</w:t>
      </w:r>
      <w:r w:rsidRPr="00B1726F">
        <w:t xml:space="preserve">. These sections define the Python client scripts, the HTTP polling loops, and the multipart file uploads you will be writing to connect the local models to the coordinator. </w:t>
      </w:r>
    </w:p>
    <w:p w14:paraId="116E13C9" w14:textId="77777777" w:rsidR="00B1726F" w:rsidRPr="00B1726F" w:rsidRDefault="00B1726F" w:rsidP="00B1726F">
      <w:pPr>
        <w:rPr>
          <w:b/>
          <w:bCs/>
        </w:rPr>
      </w:pPr>
      <w:r w:rsidRPr="00B1726F">
        <w:rPr>
          <w:b/>
          <w:bCs/>
        </w:rPr>
        <w:t>3. App Flow Document</w:t>
      </w:r>
    </w:p>
    <w:p w14:paraId="46F9D392" w14:textId="77777777" w:rsidR="00B1726F" w:rsidRPr="00B1726F" w:rsidRDefault="00B1726F" w:rsidP="00B1726F">
      <w:pPr>
        <w:numPr>
          <w:ilvl w:val="0"/>
          <w:numId w:val="3"/>
        </w:numPr>
      </w:pPr>
      <w:r w:rsidRPr="00B1726F">
        <w:rPr>
          <w:b/>
          <w:bCs/>
        </w:rPr>
        <w:t>Why read it third:</w:t>
      </w:r>
      <w:r w:rsidRPr="00B1726F">
        <w:t xml:space="preserve"> The TRD is static, but the App Flow shows you the system in motion. It is the exact state machine you need to code. </w:t>
      </w:r>
    </w:p>
    <w:p w14:paraId="793661CD" w14:textId="77777777" w:rsidR="00B1726F" w:rsidRPr="00B1726F" w:rsidRDefault="00B1726F" w:rsidP="00B1726F">
      <w:pPr>
        <w:numPr>
          <w:ilvl w:val="0"/>
          <w:numId w:val="3"/>
        </w:numPr>
      </w:pPr>
      <w:r w:rsidRPr="00B1726F">
        <w:rPr>
          <w:b/>
          <w:bCs/>
        </w:rPr>
        <w:t>What to focus on:</w:t>
      </w:r>
      <w:r w:rsidRPr="00B1726F">
        <w:t xml:space="preserve"> Study </w:t>
      </w:r>
      <w:r w:rsidRPr="00B1726F">
        <w:rPr>
          <w:b/>
          <w:bCs/>
        </w:rPr>
        <w:t>Flow 2 (Client Registration)</w:t>
      </w:r>
      <w:r w:rsidRPr="00B1726F">
        <w:t xml:space="preserve"> and </w:t>
      </w:r>
      <w:r w:rsidRPr="00B1726F">
        <w:rPr>
          <w:b/>
          <w:bCs/>
        </w:rPr>
        <w:t>Flow 3 (Training Round)</w:t>
      </w:r>
      <w:r w:rsidRPr="00B1726F">
        <w:t xml:space="preserve">. You will be responsible for ensuring the client terminal outputs match the specified formats exactly, step-by-step. </w:t>
      </w:r>
    </w:p>
    <w:p w14:paraId="3652E68A" w14:textId="77777777" w:rsidR="00B1726F" w:rsidRPr="00B1726F" w:rsidRDefault="00B1726F" w:rsidP="00B1726F">
      <w:pPr>
        <w:rPr>
          <w:b/>
          <w:bCs/>
        </w:rPr>
      </w:pPr>
      <w:r w:rsidRPr="00B1726F">
        <w:rPr>
          <w:b/>
          <w:bCs/>
        </w:rPr>
        <w:t>4. Backend Schema &amp; ER Diagram</w:t>
      </w:r>
    </w:p>
    <w:p w14:paraId="256319B8" w14:textId="77777777" w:rsidR="00B1726F" w:rsidRPr="00B1726F" w:rsidRDefault="00B1726F" w:rsidP="00B1726F">
      <w:pPr>
        <w:numPr>
          <w:ilvl w:val="0"/>
          <w:numId w:val="4"/>
        </w:numPr>
      </w:pPr>
      <w:r w:rsidRPr="00B1726F">
        <w:rPr>
          <w:b/>
          <w:bCs/>
        </w:rPr>
        <w:t>Why read it fourth:</w:t>
      </w:r>
      <w:r w:rsidRPr="00B1726F">
        <w:t xml:space="preserve"> While you aren't building the SQLite database, you need to know how the coordinator expects to receive data. </w:t>
      </w:r>
    </w:p>
    <w:p w14:paraId="65DE7CA9" w14:textId="77777777" w:rsidR="00B1726F" w:rsidRPr="00B1726F" w:rsidRDefault="00B1726F" w:rsidP="00B1726F">
      <w:pPr>
        <w:numPr>
          <w:ilvl w:val="0"/>
          <w:numId w:val="4"/>
        </w:numPr>
      </w:pPr>
      <w:r w:rsidRPr="00B1726F">
        <w:rPr>
          <w:b/>
          <w:bCs/>
        </w:rPr>
        <w:lastRenderedPageBreak/>
        <w:t>What to focus on:</w:t>
      </w:r>
      <w:r w:rsidRPr="00B1726F">
        <w:t xml:space="preserve"> Skim the credits table specification. Understanding how the </w:t>
      </w:r>
      <w:proofErr w:type="spellStart"/>
      <w:r w:rsidRPr="00B1726F">
        <w:t>samples_trained</w:t>
      </w:r>
      <w:proofErr w:type="spellEnd"/>
      <w:r w:rsidRPr="00B1726F">
        <w:t xml:space="preserve"> and </w:t>
      </w:r>
      <w:proofErr w:type="spellStart"/>
      <w:r w:rsidRPr="00B1726F">
        <w:t>time_seconds</w:t>
      </w:r>
      <w:proofErr w:type="spellEnd"/>
      <w:r w:rsidRPr="00B1726F">
        <w:t xml:space="preserve"> metadata are used will help you format the JSON payloads you send to the /submit endpoint accurately. </w:t>
      </w:r>
    </w:p>
    <w:p w14:paraId="236150EA" w14:textId="77777777" w:rsidR="00B1726F" w:rsidRPr="00B1726F" w:rsidRDefault="00B1726F" w:rsidP="00B1726F">
      <w:pPr>
        <w:rPr>
          <w:b/>
          <w:bCs/>
        </w:rPr>
      </w:pPr>
      <w:r w:rsidRPr="00B1726F">
        <w:rPr>
          <w:b/>
          <w:bCs/>
        </w:rPr>
        <w:t>5. Implementation Plan</w:t>
      </w:r>
    </w:p>
    <w:p w14:paraId="6769DB9A" w14:textId="77777777" w:rsidR="00B1726F" w:rsidRPr="00B1726F" w:rsidRDefault="00B1726F" w:rsidP="00B1726F">
      <w:pPr>
        <w:numPr>
          <w:ilvl w:val="0"/>
          <w:numId w:val="5"/>
        </w:numPr>
      </w:pPr>
      <w:r w:rsidRPr="00B1726F">
        <w:rPr>
          <w:b/>
          <w:bCs/>
        </w:rPr>
        <w:t>Why read it last:</w:t>
      </w:r>
      <w:r w:rsidRPr="00B1726F">
        <w:t xml:space="preserve"> Now that you know exactly how the system works, this document tells you the timeline. </w:t>
      </w:r>
    </w:p>
    <w:p w14:paraId="631A7E6E" w14:textId="77777777" w:rsidR="00B1726F" w:rsidRPr="00B1726F" w:rsidRDefault="00B1726F" w:rsidP="00B1726F">
      <w:pPr>
        <w:numPr>
          <w:ilvl w:val="0"/>
          <w:numId w:val="5"/>
        </w:numPr>
      </w:pPr>
      <w:r w:rsidRPr="00B1726F">
        <w:rPr>
          <w:b/>
          <w:bCs/>
        </w:rPr>
        <w:t>What to focus on:</w:t>
      </w:r>
      <w:r w:rsidRPr="00B1726F">
        <w:t xml:space="preserve"> Look specifically at the day-by-day task breakdown for the client application and network integration phases. Review the Phase 2 Integration schedule, as getting the local client to successfully hit the /register and /submit endpoints on the coordinator machine by Day 8 is the most critical path in the project. </w:t>
      </w:r>
    </w:p>
    <w:p w14:paraId="7F939192" w14:textId="77777777" w:rsidR="001E6E09" w:rsidRDefault="001E6E09"/>
    <w:sectPr w:rsidR="001E6E0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4F5283"/>
    <w:multiLevelType w:val="multilevel"/>
    <w:tmpl w:val="4C1E8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1D49B6"/>
    <w:multiLevelType w:val="multilevel"/>
    <w:tmpl w:val="1E645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7D3A7B"/>
    <w:multiLevelType w:val="multilevel"/>
    <w:tmpl w:val="92FA2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3F0317"/>
    <w:multiLevelType w:val="multilevel"/>
    <w:tmpl w:val="4E381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92A0BC1"/>
    <w:multiLevelType w:val="multilevel"/>
    <w:tmpl w:val="28A0C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0959716">
    <w:abstractNumId w:val="2"/>
  </w:num>
  <w:num w:numId="2" w16cid:durableId="1493334791">
    <w:abstractNumId w:val="1"/>
  </w:num>
  <w:num w:numId="3" w16cid:durableId="1146777001">
    <w:abstractNumId w:val="0"/>
  </w:num>
  <w:num w:numId="4" w16cid:durableId="1823498933">
    <w:abstractNumId w:val="3"/>
  </w:num>
  <w:num w:numId="5" w16cid:durableId="5089545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726F"/>
    <w:rsid w:val="001E6E09"/>
    <w:rsid w:val="00504C9D"/>
    <w:rsid w:val="006F101C"/>
    <w:rsid w:val="00B1726F"/>
    <w:rsid w:val="00F82D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C820D5"/>
  <w15:chartTrackingRefBased/>
  <w15:docId w15:val="{1D91F430-B607-48E3-AD05-58F79CB930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726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1726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1726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1726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1726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172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72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72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72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726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1726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1726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1726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1726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172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72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72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726F"/>
    <w:rPr>
      <w:rFonts w:eastAsiaTheme="majorEastAsia" w:cstheme="majorBidi"/>
      <w:color w:val="272727" w:themeColor="text1" w:themeTint="D8"/>
    </w:rPr>
  </w:style>
  <w:style w:type="paragraph" w:styleId="Title">
    <w:name w:val="Title"/>
    <w:basedOn w:val="Normal"/>
    <w:next w:val="Normal"/>
    <w:link w:val="TitleChar"/>
    <w:uiPriority w:val="10"/>
    <w:qFormat/>
    <w:rsid w:val="00B172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72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72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72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726F"/>
    <w:pPr>
      <w:spacing w:before="160"/>
      <w:jc w:val="center"/>
    </w:pPr>
    <w:rPr>
      <w:i/>
      <w:iCs/>
      <w:color w:val="404040" w:themeColor="text1" w:themeTint="BF"/>
    </w:rPr>
  </w:style>
  <w:style w:type="character" w:customStyle="1" w:styleId="QuoteChar">
    <w:name w:val="Quote Char"/>
    <w:basedOn w:val="DefaultParagraphFont"/>
    <w:link w:val="Quote"/>
    <w:uiPriority w:val="29"/>
    <w:rsid w:val="00B1726F"/>
    <w:rPr>
      <w:i/>
      <w:iCs/>
      <w:color w:val="404040" w:themeColor="text1" w:themeTint="BF"/>
    </w:rPr>
  </w:style>
  <w:style w:type="paragraph" w:styleId="ListParagraph">
    <w:name w:val="List Paragraph"/>
    <w:basedOn w:val="Normal"/>
    <w:uiPriority w:val="34"/>
    <w:qFormat/>
    <w:rsid w:val="00B1726F"/>
    <w:pPr>
      <w:ind w:left="720"/>
      <w:contextualSpacing/>
    </w:pPr>
  </w:style>
  <w:style w:type="character" w:styleId="IntenseEmphasis">
    <w:name w:val="Intense Emphasis"/>
    <w:basedOn w:val="DefaultParagraphFont"/>
    <w:uiPriority w:val="21"/>
    <w:qFormat/>
    <w:rsid w:val="00B1726F"/>
    <w:rPr>
      <w:i/>
      <w:iCs/>
      <w:color w:val="2F5496" w:themeColor="accent1" w:themeShade="BF"/>
    </w:rPr>
  </w:style>
  <w:style w:type="paragraph" w:styleId="IntenseQuote">
    <w:name w:val="Intense Quote"/>
    <w:basedOn w:val="Normal"/>
    <w:next w:val="Normal"/>
    <w:link w:val="IntenseQuoteChar"/>
    <w:uiPriority w:val="30"/>
    <w:qFormat/>
    <w:rsid w:val="00B172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1726F"/>
    <w:rPr>
      <w:i/>
      <w:iCs/>
      <w:color w:val="2F5496" w:themeColor="accent1" w:themeShade="BF"/>
    </w:rPr>
  </w:style>
  <w:style w:type="character" w:styleId="IntenseReference">
    <w:name w:val="Intense Reference"/>
    <w:basedOn w:val="DefaultParagraphFont"/>
    <w:uiPriority w:val="32"/>
    <w:qFormat/>
    <w:rsid w:val="00B1726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356</Words>
  <Characters>2034</Characters>
  <Application>Microsoft Office Word</Application>
  <DocSecurity>0</DocSecurity>
  <Lines>16</Lines>
  <Paragraphs>4</Paragraphs>
  <ScaleCrop>false</ScaleCrop>
  <Company/>
  <LinksUpToDate>false</LinksUpToDate>
  <CharactersWithSpaces>2386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Atharv Huilgol</dc:creator>
  <cp:keywords/>
  <dc:description/>
  <cp:lastModifiedBy>Atharv Huilgol</cp:lastModifiedBy>
  <cp:revision>1</cp:revision>
  <dcterms:created xsi:type="dcterms:W3CDTF">2026-05-21T20:42:00Z</dcterms:created>
  <dcterms:modified xsi:type="dcterms:W3CDTF">2026-05-21T20:43:00Z</dcterms:modified>
</cp:coreProperties>
</file>