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text" w:horzAnchor="margin" w:tblpX="-575" w:tblpY="9789"/>
        <w:tblW w:w="5538" w:type="pct"/>
        <w:tblInd w:w="0" w:type="dxa"/>
        <w:tblLayout w:type="autofit"/>
        <w:tblCellMar>
          <w:top w:w="0" w:type="dxa"/>
          <w:left w:w="108" w:type="dxa"/>
          <w:bottom w:w="0" w:type="dxa"/>
          <w:right w:w="108" w:type="dxa"/>
        </w:tblCellMar>
      </w:tblPr>
      <w:tblGrid>
        <w:gridCol w:w="3054"/>
        <w:gridCol w:w="6999"/>
        <w:gridCol w:w="2120"/>
        <w:gridCol w:w="28"/>
      </w:tblGrid>
      <w:tr w14:paraId="7E511BB6">
        <w:tblPrEx>
          <w:tblCellMar>
            <w:top w:w="0" w:type="dxa"/>
            <w:left w:w="108" w:type="dxa"/>
            <w:bottom w:w="0" w:type="dxa"/>
            <w:right w:w="108" w:type="dxa"/>
          </w:tblCellMar>
        </w:tblPrEx>
        <w:trPr>
          <w:gridAfter w:val="1"/>
          <w:wAfter w:w="28" w:type="dxa"/>
          <w:trHeight w:val="111" w:hRule="atLeast"/>
        </w:trPr>
        <w:tc>
          <w:tcPr>
            <w:tcW w:w="12174" w:type="dxa"/>
            <w:gridSpan w:val="3"/>
            <w:vAlign w:val="center"/>
          </w:tcPr>
          <w:p w14:paraId="4D317B39">
            <w:pPr>
              <w:pStyle w:val="22"/>
              <w:rPr>
                <w:sz w:val="32"/>
                <w:szCs w:val="32"/>
                <w:lang w:val="en-IN"/>
              </w:rPr>
            </w:pPr>
            <w:r>
              <w:rPr>
                <w:sz w:val="32"/>
                <w:szCs w:val="24"/>
                <w:lang w:val="en-AU" w:eastAsia="en-AU"/>
              </w:rPr>
              <w:drawing>
                <wp:anchor distT="0" distB="0" distL="114300" distR="114300" simplePos="0" relativeHeight="251659264" behindDoc="0" locked="0" layoutInCell="1" allowOverlap="1">
                  <wp:simplePos x="0" y="0"/>
                  <wp:positionH relativeFrom="page">
                    <wp:posOffset>-488950</wp:posOffset>
                  </wp:positionH>
                  <wp:positionV relativeFrom="paragraph">
                    <wp:posOffset>-6821170</wp:posOffset>
                  </wp:positionV>
                  <wp:extent cx="7787640" cy="6718935"/>
                  <wp:effectExtent l="0" t="0" r="3810" b="5715"/>
                  <wp:wrapNone/>
                  <wp:docPr id="21" name="Picture 21" descr="A book with a flag and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ook with a flag and a car on it&#10;&#10;Description automatically generated"/>
                          <pic:cNvPicPr preferRelativeResize="0">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787640" cy="6718935"/>
                          </a:xfrm>
                          <a:prstGeom prst="rect">
                            <a:avLst/>
                          </a:prstGeom>
                          <a:ln>
                            <a:noFill/>
                          </a:ln>
                        </pic:spPr>
                      </pic:pic>
                    </a:graphicData>
                  </a:graphic>
                </wp:anchor>
              </w:drawing>
            </w:r>
            <w:r>
              <w:rPr>
                <w:sz w:val="32"/>
                <w:szCs w:val="32"/>
                <w:lang w:val="en-IN"/>
              </w:rPr>
              <w:t xml:space="preserve">  Optimizing Vehicle Choices: A Data-Driven Approach to Fuel Consumption and CO2 Emissions in Canada </w:t>
            </w:r>
          </w:p>
        </w:tc>
      </w:tr>
      <w:tr w14:paraId="77A4B51A">
        <w:tblPrEx>
          <w:tblCellMar>
            <w:top w:w="0" w:type="dxa"/>
            <w:left w:w="108" w:type="dxa"/>
            <w:bottom w:w="0" w:type="dxa"/>
            <w:right w:w="108" w:type="dxa"/>
          </w:tblCellMar>
        </w:tblPrEx>
        <w:trPr>
          <w:gridAfter w:val="1"/>
          <w:wAfter w:w="28" w:type="dxa"/>
          <w:trHeight w:val="48" w:hRule="atLeast"/>
        </w:trPr>
        <w:tc>
          <w:tcPr>
            <w:tcW w:w="3054" w:type="dxa"/>
            <w:vAlign w:val="center"/>
          </w:tcPr>
          <w:p w14:paraId="08A10570">
            <w:pPr>
              <w:tabs>
                <w:tab w:val="left" w:pos="1032"/>
              </w:tabs>
              <w:spacing w:before="0" w:after="0"/>
              <w:jc w:val="center"/>
              <w:rPr>
                <w:sz w:val="32"/>
                <w:szCs w:val="24"/>
              </w:rPr>
            </w:pPr>
          </w:p>
        </w:tc>
        <w:tc>
          <w:tcPr>
            <w:tcW w:w="7000" w:type="dxa"/>
            <w:shd w:val="clear" w:color="auto" w:fill="F0CDA1" w:themeFill="accent1"/>
            <w:vAlign w:val="center"/>
          </w:tcPr>
          <w:p w14:paraId="245A57F4">
            <w:pPr>
              <w:tabs>
                <w:tab w:val="left" w:pos="1032"/>
              </w:tabs>
              <w:spacing w:before="0" w:after="0"/>
              <w:jc w:val="center"/>
              <w:rPr>
                <w:sz w:val="32"/>
                <w:szCs w:val="24"/>
              </w:rPr>
            </w:pPr>
          </w:p>
        </w:tc>
        <w:tc>
          <w:tcPr>
            <w:tcW w:w="2120" w:type="dxa"/>
            <w:vAlign w:val="center"/>
          </w:tcPr>
          <w:p w14:paraId="38ED034F">
            <w:pPr>
              <w:tabs>
                <w:tab w:val="left" w:pos="1032"/>
              </w:tabs>
              <w:spacing w:before="0" w:after="0"/>
              <w:jc w:val="center"/>
              <w:rPr>
                <w:sz w:val="32"/>
                <w:szCs w:val="24"/>
              </w:rPr>
            </w:pPr>
          </w:p>
        </w:tc>
      </w:tr>
      <w:tr w14:paraId="07D25920">
        <w:tblPrEx>
          <w:tblCellMar>
            <w:top w:w="0" w:type="dxa"/>
            <w:left w:w="108" w:type="dxa"/>
            <w:bottom w:w="0" w:type="dxa"/>
            <w:right w:w="108" w:type="dxa"/>
          </w:tblCellMar>
        </w:tblPrEx>
        <w:trPr>
          <w:gridAfter w:val="1"/>
          <w:wAfter w:w="28" w:type="dxa"/>
          <w:trHeight w:val="170" w:hRule="atLeast"/>
        </w:trPr>
        <w:tc>
          <w:tcPr>
            <w:tcW w:w="12174" w:type="dxa"/>
            <w:gridSpan w:val="3"/>
            <w:vAlign w:val="center"/>
          </w:tcPr>
          <w:p w14:paraId="04C4AA9F">
            <w:pPr>
              <w:pStyle w:val="22"/>
              <w:rPr>
                <w:sz w:val="32"/>
                <w:szCs w:val="24"/>
              </w:rPr>
            </w:pPr>
            <w:r>
              <w:rPr>
                <w:color w:val="107082" w:themeColor="accent2"/>
                <w:sz w:val="36"/>
                <w:szCs w:val="28"/>
                <w14:textFill>
                  <w14:solidFill>
                    <w14:schemeClr w14:val="accent2"/>
                  </w14:solidFill>
                </w14:textFill>
              </w:rPr>
              <w:t>Project PLAN</w:t>
            </w:r>
          </w:p>
        </w:tc>
      </w:tr>
      <w:tr w14:paraId="19CBFEBA">
        <w:tblPrEx>
          <w:tblCellMar>
            <w:top w:w="0" w:type="dxa"/>
            <w:left w:w="108" w:type="dxa"/>
            <w:bottom w:w="0" w:type="dxa"/>
            <w:right w:w="108" w:type="dxa"/>
          </w:tblCellMar>
        </w:tblPrEx>
        <w:trPr>
          <w:wAfter w:w="0" w:type="auto"/>
          <w:trHeight w:val="151" w:hRule="atLeast"/>
        </w:trPr>
        <w:tc>
          <w:tcPr>
            <w:tcW w:w="12202" w:type="dxa"/>
            <w:gridSpan w:val="4"/>
            <w:vAlign w:val="center"/>
          </w:tcPr>
          <w:p w14:paraId="668FC990">
            <w:pPr>
              <w:pStyle w:val="22"/>
              <w:rPr>
                <w:sz w:val="32"/>
                <w:szCs w:val="24"/>
              </w:rPr>
            </w:pPr>
            <w:r>
              <w:rPr>
                <w:sz w:val="32"/>
                <w:szCs w:val="24"/>
              </w:rPr>
              <w:t xml:space="preserve">Group-5 </w:t>
            </w:r>
          </w:p>
          <w:p w14:paraId="3AF9BCC7">
            <w:pPr>
              <w:pStyle w:val="22"/>
              <w:rPr>
                <w:sz w:val="32"/>
                <w:szCs w:val="24"/>
              </w:rPr>
            </w:pPr>
            <w:r>
              <w:rPr>
                <w:rFonts w:hint="default"/>
                <w:sz w:val="32"/>
                <w:szCs w:val="24"/>
                <w:lang w:val="en-US"/>
              </w:rPr>
              <w:t xml:space="preserve">     </w:t>
            </w:r>
            <w:r>
              <w:rPr>
                <w:sz w:val="32"/>
                <w:szCs w:val="24"/>
              </w:rPr>
              <w:t>Algorithm Avengers</w:t>
            </w:r>
          </w:p>
        </w:tc>
      </w:tr>
    </w:tbl>
    <w:p w14:paraId="0E0B1AE4">
      <w:pPr>
        <w:spacing w:before="0" w:after="160" w:line="259" w:lineRule="auto"/>
      </w:pPr>
    </w:p>
    <w:p w14:paraId="2FD5DEF7">
      <w:pPr>
        <w:spacing w:before="0" w:after="160" w:line="259" w:lineRule="auto"/>
      </w:pPr>
    </w:p>
    <w:p w14:paraId="27DDE3BC">
      <w:pPr>
        <w:spacing w:before="0" w:after="160" w:line="259" w:lineRule="auto"/>
      </w:pPr>
      <w:r>
        <w:br w:type="page"/>
      </w:r>
    </w:p>
    <w:tbl>
      <w:tblPr>
        <w:tblStyle w:val="7"/>
        <w:tblW w:w="5000" w:type="pct"/>
        <w:tblInd w:w="0" w:type="dxa"/>
        <w:tblLayout w:type="fixed"/>
        <w:tblCellMar>
          <w:top w:w="0" w:type="dxa"/>
          <w:left w:w="0" w:type="dxa"/>
          <w:bottom w:w="0" w:type="dxa"/>
          <w:right w:w="0" w:type="dxa"/>
        </w:tblCellMar>
      </w:tblPr>
      <w:tblGrid>
        <w:gridCol w:w="5636"/>
        <w:gridCol w:w="5164"/>
      </w:tblGrid>
      <w:tr w14:paraId="39437653">
        <w:trPr>
          <w:trHeight w:val="13824" w:hRule="atLeast"/>
        </w:trPr>
        <w:tc>
          <w:tcPr>
            <w:tcW w:w="5636" w:type="dxa"/>
          </w:tcPr>
          <w:p w14:paraId="067659A0">
            <w:pPr>
              <w:tabs>
                <w:tab w:val="left" w:pos="1032"/>
              </w:tabs>
              <w:spacing w:before="0" w:after="0"/>
            </w:pPr>
            <w:r>
              <w:rPr>
                <w:lang w:val="en-AU" w:eastAsia="en-AU"/>
              </w:rPr>
              <w:drawing>
                <wp:inline distT="0" distB="0" distL="0" distR="0">
                  <wp:extent cx="3246755" cy="8596630"/>
                  <wp:effectExtent l="0" t="0" r="0" b="0"/>
                  <wp:docPr id="23" name="Picture 23" descr="A car driving on a road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ar driving on a road with a city in the background&#10;&#10;Description automatically generated"/>
                          <pic:cNvPicPr>
                            <a:picLocks noChangeAspect="1"/>
                          </pic:cNvPicPr>
                        </pic:nvPicPr>
                        <pic:blipFill>
                          <a:blip r:embed="rId11"/>
                          <a:srcRect l="17905" r="30066" b="999"/>
                          <a:stretch>
                            <a:fillRect/>
                          </a:stretch>
                        </pic:blipFill>
                        <pic:spPr>
                          <a:xfrm flipH="1">
                            <a:off x="0" y="0"/>
                            <a:ext cx="3264994" cy="8644321"/>
                          </a:xfrm>
                          <a:prstGeom prst="rect">
                            <a:avLst/>
                          </a:prstGeom>
                          <a:ln>
                            <a:noFill/>
                          </a:ln>
                          <a:effectLst>
                            <a:softEdge rad="112500"/>
                          </a:effectLst>
                        </pic:spPr>
                      </pic:pic>
                    </a:graphicData>
                  </a:graphic>
                </wp:inline>
              </w:drawing>
            </w:r>
          </w:p>
        </w:tc>
        <w:tc>
          <w:tcPr>
            <w:tcW w:w="5164" w:type="dxa"/>
          </w:tcPr>
          <w:tbl>
            <w:tblPr>
              <w:tblStyle w:val="7"/>
              <w:tblW w:w="5149" w:type="dxa"/>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49"/>
            </w:tblGrid>
            <w:tr w14:paraId="40FC942E">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3" w:hRule="atLeast"/>
              </w:trPr>
              <w:tc>
                <w:tcPr>
                  <w:tcW w:w="5149" w:type="dxa"/>
                  <w:vAlign w:val="bottom"/>
                </w:tcPr>
                <w:p w14:paraId="0558F6B1">
                  <w:pPr>
                    <w:pStyle w:val="41"/>
                    <w:pBdr>
                      <w:bottom w:val="none" w:color="auto" w:sz="0" w:space="0"/>
                    </w:pBdr>
                  </w:pPr>
                  <w:r>
                    <w:t>TABLE OF CONTENTS</w:t>
                  </w:r>
                </w:p>
              </w:tc>
            </w:tr>
          </w:tbl>
          <w:sdt>
            <w:sdtPr>
              <w:id w:val="861114984"/>
              <w:docPartObj>
                <w:docPartGallery w:val="Table of Contents"/>
                <w:docPartUnique/>
              </w:docPartObj>
            </w:sdtPr>
            <w:sdtContent>
              <w:p w14:paraId="2424260F">
                <w:pPr>
                  <w:pStyle w:val="23"/>
                  <w:tabs>
                    <w:tab w:val="right" w:leader="dot" w:pos="10785"/>
                  </w:tabs>
                  <w:rPr>
                    <w:rStyle w:val="14"/>
                    <w:kern w:val="2"/>
                    <w:lang w:val="en-IN" w:eastAsia="en-IN"/>
                    <w14:ligatures w14:val="standardContextual"/>
                  </w:rPr>
                </w:pPr>
                <w:r>
                  <w:fldChar w:fldCharType="begin"/>
                </w:r>
                <w:r>
                  <w:instrText xml:space="preserve">TOC \o "1-3" \z \u \h</w:instrText>
                </w:r>
                <w:r>
                  <w:fldChar w:fldCharType="separate"/>
                </w:r>
                <w:r>
                  <w:fldChar w:fldCharType="begin"/>
                </w:r>
                <w:r>
                  <w:instrText xml:space="preserve"> HYPERLINK \l "_Toc352468337" \h </w:instrText>
                </w:r>
                <w:r>
                  <w:fldChar w:fldCharType="separate"/>
                </w:r>
                <w:r>
                  <w:rPr>
                    <w:rStyle w:val="14"/>
                  </w:rPr>
                  <w:t>Problem / Analytical Statement</w:t>
                </w:r>
                <w:r>
                  <w:tab/>
                </w:r>
                <w:r>
                  <w:fldChar w:fldCharType="begin"/>
                </w:r>
                <w:r>
                  <w:instrText xml:space="preserve">PAGEREF _Toc352468337 \h</w:instrText>
                </w:r>
                <w:r>
                  <w:fldChar w:fldCharType="separate"/>
                </w:r>
                <w:r>
                  <w:rPr>
                    <w:rStyle w:val="14"/>
                  </w:rPr>
                  <w:t>2</w:t>
                </w:r>
                <w:r>
                  <w:fldChar w:fldCharType="end"/>
                </w:r>
                <w:r>
                  <w:fldChar w:fldCharType="end"/>
                </w:r>
              </w:p>
              <w:p w14:paraId="19D4D5FC">
                <w:pPr>
                  <w:pStyle w:val="23"/>
                  <w:tabs>
                    <w:tab w:val="left" w:pos="480"/>
                    <w:tab w:val="right" w:leader="dot" w:pos="10785"/>
                  </w:tabs>
                  <w:rPr>
                    <w:rStyle w:val="14"/>
                    <w:kern w:val="2"/>
                    <w:lang w:val="en-IN" w:eastAsia="en-IN"/>
                    <w14:ligatures w14:val="standardContextual"/>
                  </w:rPr>
                </w:pPr>
                <w:r>
                  <w:fldChar w:fldCharType="begin"/>
                </w:r>
                <w:r>
                  <w:instrText xml:space="preserve"> HYPERLINK \l "_Toc1584413838" \h </w:instrText>
                </w:r>
                <w:r>
                  <w:fldChar w:fldCharType="separate"/>
                </w:r>
                <w:r>
                  <w:rPr>
                    <w:rStyle w:val="14"/>
                  </w:rPr>
                  <w:t>1.</w:t>
                </w:r>
                <w:r>
                  <w:tab/>
                </w:r>
                <w:r>
                  <w:rPr>
                    <w:rStyle w:val="14"/>
                  </w:rPr>
                  <w:t>PROJECT SIGNIFICANCE</w:t>
                </w:r>
                <w:r>
                  <w:tab/>
                </w:r>
                <w:r>
                  <w:fldChar w:fldCharType="begin"/>
                </w:r>
                <w:r>
                  <w:instrText xml:space="preserve">PAGEREF _Toc1584413838 \h</w:instrText>
                </w:r>
                <w:r>
                  <w:fldChar w:fldCharType="separate"/>
                </w:r>
                <w:r>
                  <w:rPr>
                    <w:rStyle w:val="14"/>
                  </w:rPr>
                  <w:t>3</w:t>
                </w:r>
                <w:r>
                  <w:fldChar w:fldCharType="end"/>
                </w:r>
                <w:r>
                  <w:fldChar w:fldCharType="end"/>
                </w:r>
              </w:p>
              <w:p w14:paraId="1521D16F">
                <w:pPr>
                  <w:pStyle w:val="23"/>
                  <w:tabs>
                    <w:tab w:val="left" w:pos="480"/>
                    <w:tab w:val="right" w:leader="dot" w:pos="10785"/>
                  </w:tabs>
                  <w:rPr>
                    <w:rStyle w:val="14"/>
                    <w:kern w:val="2"/>
                    <w:lang w:val="en-IN" w:eastAsia="en-IN"/>
                    <w14:ligatures w14:val="standardContextual"/>
                  </w:rPr>
                </w:pPr>
                <w:r>
                  <w:fldChar w:fldCharType="begin"/>
                </w:r>
                <w:r>
                  <w:instrText xml:space="preserve"> HYPERLINK \l "_Toc168374433" \h </w:instrText>
                </w:r>
                <w:r>
                  <w:fldChar w:fldCharType="separate"/>
                </w:r>
                <w:r>
                  <w:rPr>
                    <w:rStyle w:val="14"/>
                  </w:rPr>
                  <w:t>2.</w:t>
                </w:r>
                <w:r>
                  <w:tab/>
                </w:r>
                <w:r>
                  <w:rPr>
                    <w:rStyle w:val="14"/>
                  </w:rPr>
                  <w:t>ANTICIPATED OUTCOMES</w:t>
                </w:r>
                <w:r>
                  <w:tab/>
                </w:r>
                <w:r>
                  <w:fldChar w:fldCharType="begin"/>
                </w:r>
                <w:r>
                  <w:instrText xml:space="preserve">PAGEREF _Toc168374433 \h</w:instrText>
                </w:r>
                <w:r>
                  <w:fldChar w:fldCharType="separate"/>
                </w:r>
                <w:r>
                  <w:rPr>
                    <w:rStyle w:val="14"/>
                  </w:rPr>
                  <w:t>4</w:t>
                </w:r>
                <w:r>
                  <w:fldChar w:fldCharType="end"/>
                </w:r>
                <w:r>
                  <w:fldChar w:fldCharType="end"/>
                </w:r>
              </w:p>
              <w:p w14:paraId="4D6C3B3B">
                <w:pPr>
                  <w:pStyle w:val="23"/>
                  <w:tabs>
                    <w:tab w:val="left" w:pos="480"/>
                    <w:tab w:val="right" w:leader="dot" w:pos="10785"/>
                  </w:tabs>
                  <w:rPr>
                    <w:rStyle w:val="14"/>
                    <w:kern w:val="2"/>
                    <w:lang w:val="en-IN" w:eastAsia="en-IN"/>
                    <w14:ligatures w14:val="standardContextual"/>
                  </w:rPr>
                </w:pPr>
                <w:r>
                  <w:fldChar w:fldCharType="begin"/>
                </w:r>
                <w:r>
                  <w:instrText xml:space="preserve"> HYPERLINK \l "_Toc233568995" \h </w:instrText>
                </w:r>
                <w:r>
                  <w:fldChar w:fldCharType="separate"/>
                </w:r>
                <w:r>
                  <w:rPr>
                    <w:rStyle w:val="14"/>
                  </w:rPr>
                  <w:t>3.</w:t>
                </w:r>
                <w:r>
                  <w:tab/>
                </w:r>
                <w:r>
                  <w:rPr>
                    <w:rStyle w:val="14"/>
                  </w:rPr>
                  <w:t>C</w:t>
                </w:r>
                <w:r>
                  <w:rPr>
                    <w:rStyle w:val="14"/>
                    <w:rFonts w:hint="default"/>
                    <w:lang w:val="en-US"/>
                  </w:rPr>
                  <w:t>O</w:t>
                </w:r>
                <w:r>
                  <w:rPr>
                    <w:rStyle w:val="14"/>
                  </w:rPr>
                  <w:t>URSE RELEVANCE</w:t>
                </w:r>
                <w:r>
                  <w:tab/>
                </w:r>
                <w:r>
                  <w:fldChar w:fldCharType="begin"/>
                </w:r>
                <w:r>
                  <w:instrText xml:space="preserve">PAGEREF _Toc233568995 \h</w:instrText>
                </w:r>
                <w:r>
                  <w:fldChar w:fldCharType="separate"/>
                </w:r>
                <w:r>
                  <w:rPr>
                    <w:rStyle w:val="14"/>
                  </w:rPr>
                  <w:t>5</w:t>
                </w:r>
                <w:r>
                  <w:fldChar w:fldCharType="end"/>
                </w:r>
                <w:r>
                  <w:fldChar w:fldCharType="end"/>
                </w:r>
              </w:p>
              <w:p w14:paraId="4C293135">
                <w:pPr>
                  <w:pStyle w:val="23"/>
                  <w:tabs>
                    <w:tab w:val="left" w:pos="480"/>
                    <w:tab w:val="right" w:leader="dot" w:pos="10785"/>
                  </w:tabs>
                  <w:rPr>
                    <w:rStyle w:val="14"/>
                    <w:kern w:val="2"/>
                    <w:lang w:val="en-IN" w:eastAsia="en-IN"/>
                    <w14:ligatures w14:val="standardContextual"/>
                  </w:rPr>
                </w:pPr>
                <w:r>
                  <w:fldChar w:fldCharType="begin"/>
                </w:r>
                <w:r>
                  <w:instrText xml:space="preserve"> HYPERLINK \l "_Toc1080677264" \h </w:instrText>
                </w:r>
                <w:r>
                  <w:fldChar w:fldCharType="separate"/>
                </w:r>
                <w:r>
                  <w:rPr>
                    <w:rStyle w:val="14"/>
                  </w:rPr>
                  <w:t>4.</w:t>
                </w:r>
                <w:r>
                  <w:tab/>
                </w:r>
                <w:r>
                  <w:rPr>
                    <w:rStyle w:val="14"/>
                  </w:rPr>
                  <w:t>ASSUMPTIONS</w:t>
                </w:r>
                <w:r>
                  <w:tab/>
                </w:r>
                <w:r>
                  <w:fldChar w:fldCharType="begin"/>
                </w:r>
                <w:r>
                  <w:instrText xml:space="preserve">PAGEREF _Toc1080677264 \h</w:instrText>
                </w:r>
                <w:r>
                  <w:fldChar w:fldCharType="separate"/>
                </w:r>
                <w:r>
                  <w:rPr>
                    <w:rStyle w:val="14"/>
                  </w:rPr>
                  <w:t>5</w:t>
                </w:r>
                <w:r>
                  <w:fldChar w:fldCharType="end"/>
                </w:r>
                <w:r>
                  <w:fldChar w:fldCharType="end"/>
                </w:r>
              </w:p>
              <w:p w14:paraId="635191DF">
                <w:pPr>
                  <w:pStyle w:val="23"/>
                  <w:tabs>
                    <w:tab w:val="left" w:pos="480"/>
                    <w:tab w:val="right" w:leader="dot" w:pos="10785"/>
                  </w:tabs>
                  <w:rPr>
                    <w:rStyle w:val="14"/>
                    <w:kern w:val="2"/>
                    <w:lang w:val="en-IN" w:eastAsia="en-IN"/>
                    <w14:ligatures w14:val="standardContextual"/>
                  </w:rPr>
                </w:pPr>
                <w:r>
                  <w:fldChar w:fldCharType="begin"/>
                </w:r>
                <w:r>
                  <w:instrText xml:space="preserve"> HYPERLINK \l "_Toc1510190974" \h </w:instrText>
                </w:r>
                <w:r>
                  <w:fldChar w:fldCharType="separate"/>
                </w:r>
                <w:r>
                  <w:rPr>
                    <w:rStyle w:val="14"/>
                  </w:rPr>
                  <w:t>5.</w:t>
                </w:r>
                <w:r>
                  <w:tab/>
                </w:r>
                <w:r>
                  <w:rPr>
                    <w:rStyle w:val="14"/>
                  </w:rPr>
                  <w:t>CONSTRAINtS</w:t>
                </w:r>
                <w:r>
                  <w:tab/>
                </w:r>
                <w:r>
                  <w:fldChar w:fldCharType="begin"/>
                </w:r>
                <w:r>
                  <w:instrText xml:space="preserve">PAGEREF _Toc1510190974 \h</w:instrText>
                </w:r>
                <w:r>
                  <w:fldChar w:fldCharType="separate"/>
                </w:r>
                <w:r>
                  <w:rPr>
                    <w:rStyle w:val="14"/>
                  </w:rPr>
                  <w:t>6</w:t>
                </w:r>
                <w:r>
                  <w:fldChar w:fldCharType="end"/>
                </w:r>
                <w:r>
                  <w:fldChar w:fldCharType="end"/>
                </w:r>
              </w:p>
              <w:p w14:paraId="4B560D20">
                <w:pPr>
                  <w:pStyle w:val="23"/>
                  <w:tabs>
                    <w:tab w:val="right" w:leader="dot" w:pos="10785"/>
                  </w:tabs>
                  <w:rPr>
                    <w:rStyle w:val="14"/>
                    <w:kern w:val="2"/>
                    <w:lang w:val="en-IN" w:eastAsia="en-IN"/>
                    <w14:ligatures w14:val="standardContextual"/>
                  </w:rPr>
                </w:pPr>
                <w:r>
                  <w:fldChar w:fldCharType="begin"/>
                </w:r>
                <w:r>
                  <w:instrText xml:space="preserve"> HYPERLINK \l "_Toc1394548837" \h </w:instrText>
                </w:r>
                <w:r>
                  <w:fldChar w:fldCharType="separate"/>
                </w:r>
                <w:r>
                  <w:rPr>
                    <w:rStyle w:val="14"/>
                  </w:rPr>
                  <w:t>Timeline and Deliverables</w:t>
                </w:r>
                <w:r>
                  <w:tab/>
                </w:r>
                <w:r>
                  <w:fldChar w:fldCharType="begin"/>
                </w:r>
                <w:r>
                  <w:instrText xml:space="preserve">PAGEREF _Toc1394548837 \h</w:instrText>
                </w:r>
                <w:r>
                  <w:fldChar w:fldCharType="separate"/>
                </w:r>
                <w:r>
                  <w:rPr>
                    <w:rStyle w:val="14"/>
                  </w:rPr>
                  <w:t>7</w:t>
                </w:r>
                <w:r>
                  <w:fldChar w:fldCharType="end"/>
                </w:r>
                <w:r>
                  <w:fldChar w:fldCharType="end"/>
                </w:r>
                <w:r>
                  <w:fldChar w:fldCharType="end"/>
                </w:r>
              </w:p>
            </w:sdtContent>
          </w:sdt>
          <w:p w14:paraId="4296D8E2"/>
          <w:p w14:paraId="300B36D6">
            <w:pPr>
              <w:tabs>
                <w:tab w:val="left" w:pos="1032"/>
              </w:tabs>
              <w:spacing w:before="0" w:after="0"/>
              <w:jc w:val="center"/>
            </w:pPr>
          </w:p>
        </w:tc>
      </w:tr>
    </w:tbl>
    <w:p w14:paraId="2A0B30B8">
      <w:pPr>
        <w:spacing w:before="0" w:after="160" w:line="259" w:lineRule="auto"/>
        <w:jc w:val="right"/>
        <w:sectPr>
          <w:pgSz w:w="12240" w:h="15840"/>
          <w:pgMar w:top="540" w:right="720" w:bottom="360" w:left="720" w:header="0" w:footer="0" w:gutter="0"/>
          <w:cols w:space="708" w:num="1"/>
          <w:docGrid w:linePitch="360" w:charSpace="0"/>
        </w:sectPr>
      </w:pPr>
    </w:p>
    <w:tbl>
      <w:tblPr>
        <w:tblStyle w:val="7"/>
        <w:tblpPr w:leftFromText="180" w:rightFromText="180" w:horzAnchor="margin" w:tblpY="-426"/>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6"/>
      </w:tblGrid>
      <w:tr w14:paraId="5DFA9939">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0800" w:type="dxa"/>
          </w:tcPr>
          <w:p w14:paraId="63FC37EE">
            <w:pPr>
              <w:pStyle w:val="2"/>
              <w:rPr>
                <w:rFonts w:cstheme="minorAscii"/>
              </w:rPr>
            </w:pPr>
            <w:bookmarkStart w:id="0" w:name="_Toc352468337"/>
            <w:r>
              <w:t>Problem / Analytical Statement</w:t>
            </w:r>
            <w:bookmarkEnd w:id="0"/>
          </w:p>
        </w:tc>
      </w:tr>
    </w:tbl>
    <w:p w14:paraId="4FEE19E0">
      <w:pPr>
        <w:spacing w:before="0" w:after="160" w:line="257" w:lineRule="auto"/>
        <w:rPr>
          <w:rFonts w:eastAsia="system-ui"/>
          <w:b/>
          <w:color w:val="005778" w:themeColor="accent4" w:themeShade="80"/>
          <w:sz w:val="28"/>
          <w:szCs w:val="24"/>
          <w:u w:val="single"/>
          <w:lang w:val="en-IN"/>
        </w:rPr>
      </w:pPr>
    </w:p>
    <w:p w14:paraId="450CCDAB">
      <w:pPr>
        <w:spacing w:before="0" w:after="160" w:line="257" w:lineRule="auto"/>
        <w:rPr>
          <w:rFonts w:eastAsia="system-ui"/>
          <w:b/>
          <w:color w:val="005778" w:themeColor="accent4" w:themeShade="80"/>
          <w:sz w:val="28"/>
          <w:szCs w:val="24"/>
          <w:u w:val="single"/>
          <w:lang w:val="en-IN"/>
        </w:rPr>
      </w:pPr>
      <w:r>
        <w:rPr>
          <w:rFonts w:eastAsia="system-ui"/>
          <w:b/>
          <w:color w:val="005778" w:themeColor="accent4" w:themeShade="80"/>
          <w:sz w:val="28"/>
          <w:szCs w:val="24"/>
          <w:u w:val="single"/>
          <w:lang w:val="en-IN"/>
        </w:rPr>
        <w:t>Updated Problem Statement</w:t>
      </w:r>
    </w:p>
    <w:p w14:paraId="2B0DC8E6">
      <w:pPr>
        <w:spacing w:line="276" w:lineRule="auto"/>
        <w:ind w:firstLine="720"/>
        <w:rPr>
          <w:rFonts w:ascii="Arial" w:hAnsi="Arial" w:eastAsia="Arial" w:cs="Arial"/>
          <w:color w:val="000000" w:themeColor="text1"/>
          <w:lang w:val="en-IN"/>
          <w14:textFill>
            <w14:solidFill>
              <w14:schemeClr w14:val="tx1"/>
            </w14:solidFill>
          </w14:textFill>
        </w:rPr>
      </w:pPr>
      <w:r>
        <w:rPr>
          <w:rFonts w:ascii="Arial" w:hAnsi="Arial" w:eastAsia="Arial" w:cs="Arial"/>
          <w:color w:val="000000" w:themeColor="text1"/>
          <w:lang w:val="en-IN"/>
          <w14:textFill>
            <w14:solidFill>
              <w14:schemeClr w14:val="tx1"/>
            </w14:solidFill>
          </w14:textFill>
        </w:rPr>
        <w:t xml:space="preserve">The automotive industry continues to face increasing pressure to enhance fuel efficiency and minimize environmental impact. However, consumers still lack comprehensive insights into the long-term financial and carbon tax implications of their vehicle choices. While existing tools like </w:t>
      </w:r>
      <w:r>
        <w:rPr>
          <w:rFonts w:ascii="Arial" w:hAnsi="Arial" w:eastAsia="Arial" w:cs="Arial"/>
          <w:b/>
          <w:bCs/>
          <w:color w:val="000000" w:themeColor="text1"/>
          <w:lang w:val="en-IN"/>
          <w14:textFill>
            <w14:solidFill>
              <w14:schemeClr w14:val="tx1"/>
            </w14:solidFill>
          </w14:textFill>
        </w:rPr>
        <w:t>EnerGuide for Vehicles</w:t>
      </w:r>
      <w:r>
        <w:rPr>
          <w:rFonts w:ascii="Arial" w:hAnsi="Arial" w:eastAsia="Arial" w:cs="Arial"/>
          <w:color w:val="000000" w:themeColor="text1"/>
          <w:lang w:val="en-IN"/>
          <w14:textFill>
            <w14:solidFill>
              <w14:schemeClr w14:val="tx1"/>
            </w14:solidFill>
          </w14:textFill>
        </w:rPr>
        <w:t xml:space="preserve"> and the </w:t>
      </w:r>
      <w:r>
        <w:rPr>
          <w:rFonts w:ascii="Arial" w:hAnsi="Arial" w:eastAsia="Arial" w:cs="Arial"/>
          <w:b/>
          <w:bCs/>
          <w:color w:val="000000" w:themeColor="text1"/>
          <w:lang w:val="en-IN"/>
          <w14:textFill>
            <w14:solidFill>
              <w14:schemeClr w14:val="tx1"/>
            </w14:solidFill>
          </w14:textFill>
        </w:rPr>
        <w:t>Fuel Consumption Ratings Tool</w:t>
      </w:r>
      <w:r>
        <w:rPr>
          <w:rFonts w:ascii="Arial" w:hAnsi="Arial" w:eastAsia="Arial" w:cs="Arial"/>
          <w:color w:val="000000" w:themeColor="text1"/>
          <w:lang w:val="en-IN"/>
          <w14:textFill>
            <w14:solidFill>
              <w14:schemeClr w14:val="tx1"/>
            </w14:solidFill>
          </w14:textFill>
        </w:rPr>
        <w:t xml:space="preserve"> provide basic fuel efficiency data, they fail to offer predictive cost analysis and personalized recommendations </w:t>
      </w:r>
      <w:r>
        <w:rPr>
          <w:rFonts w:ascii="Arial" w:hAnsi="Arial" w:eastAsia="Arial" w:cs="Arial"/>
          <w:color w:val="000000" w:themeColor="text1"/>
          <w14:textFill>
            <w14:solidFill>
              <w14:schemeClr w14:val="tx1"/>
            </w14:solidFill>
          </w14:textFill>
        </w:rPr>
        <w:t>based on real-world factors</w:t>
      </w:r>
      <w:r>
        <w:rPr>
          <w:rFonts w:ascii="Arial" w:hAnsi="Arial" w:eastAsia="Arial" w:cs="Arial"/>
          <w:color w:val="000000" w:themeColor="text1"/>
          <w:lang w:val="en-IN"/>
          <w14:textFill>
            <w14:solidFill>
              <w14:schemeClr w14:val="tx1"/>
            </w14:solidFill>
          </w14:textFill>
        </w:rPr>
        <w:t>.</w:t>
      </w:r>
    </w:p>
    <w:p w14:paraId="4AE0F3D9">
      <w:pPr>
        <w:spacing w:line="276" w:lineRule="auto"/>
        <w:ind w:firstLine="720"/>
        <w:rPr>
          <w:rFonts w:ascii="Arial" w:hAnsi="Arial" w:eastAsia="Arial" w:cs="Arial"/>
          <w:color w:val="000000" w:themeColor="text1"/>
          <w:lang w:val="en-IN"/>
          <w14:textFill>
            <w14:solidFill>
              <w14:schemeClr w14:val="tx1"/>
            </w14:solidFill>
          </w14:textFill>
        </w:rPr>
      </w:pPr>
      <w:r>
        <w:rPr>
          <w:rFonts w:ascii="Arial" w:hAnsi="Arial" w:eastAsia="Arial" w:cs="Arial"/>
          <w:color w:val="000000" w:themeColor="text1"/>
          <w:lang w:val="en-IN"/>
          <w14:textFill>
            <w14:solidFill>
              <w14:schemeClr w14:val="tx1"/>
            </w14:solidFill>
          </w14:textFill>
        </w:rPr>
        <w:t xml:space="preserve">To bridge this gap, our project will advance into a </w:t>
      </w:r>
      <w:r>
        <w:rPr>
          <w:rFonts w:ascii="Arial" w:hAnsi="Arial" w:eastAsia="Arial" w:cs="Arial"/>
          <w:b/>
          <w:bCs/>
          <w:color w:val="000000" w:themeColor="text1"/>
          <w:lang w:val="en-IN"/>
          <w14:textFill>
            <w14:solidFill>
              <w14:schemeClr w14:val="tx1"/>
            </w14:solidFill>
          </w14:textFill>
        </w:rPr>
        <w:t>machine learning-powered dashboard</w:t>
      </w:r>
      <w:r>
        <w:rPr>
          <w:rFonts w:ascii="Arial" w:hAnsi="Arial" w:eastAsia="Arial" w:cs="Arial"/>
          <w:color w:val="000000" w:themeColor="text1"/>
          <w:lang w:val="en-IN"/>
          <w14:textFill>
            <w14:solidFill>
              <w14:schemeClr w14:val="tx1"/>
            </w14:solidFill>
          </w14:textFill>
        </w:rPr>
        <w:t xml:space="preserve"> capable of estimating </w:t>
      </w:r>
      <w:r>
        <w:rPr>
          <w:rFonts w:ascii="Arial" w:hAnsi="Arial" w:eastAsia="Arial" w:cs="Arial"/>
          <w:b/>
          <w:bCs/>
          <w:color w:val="000000" w:themeColor="text1"/>
          <w:lang w:val="en-IN"/>
          <w14:textFill>
            <w14:solidFill>
              <w14:schemeClr w14:val="tx1"/>
            </w14:solidFill>
          </w14:textFill>
        </w:rPr>
        <w:t>annual fuel costs, carbon tax impact, and fuel efficiency scores</w:t>
      </w:r>
      <w:r>
        <w:rPr>
          <w:rFonts w:ascii="Arial" w:hAnsi="Arial" w:eastAsia="Arial" w:cs="Arial"/>
          <w:color w:val="000000" w:themeColor="text1"/>
          <w:lang w:val="en-IN"/>
          <w14:textFill>
            <w14:solidFill>
              <w14:schemeClr w14:val="tx1"/>
            </w14:solidFill>
          </w14:textFill>
        </w:rPr>
        <w:t xml:space="preserve"> with greater precision. Instead of classification-based evaluation metrics, we will assess model performance using </w:t>
      </w:r>
      <w:r>
        <w:rPr>
          <w:rFonts w:ascii="Arial" w:hAnsi="Arial" w:eastAsia="Arial" w:cs="Arial"/>
          <w:b/>
          <w:bCs/>
          <w:color w:val="000000" w:themeColor="text1"/>
          <w:lang w:val="en-IN"/>
          <w14:textFill>
            <w14:solidFill>
              <w14:schemeClr w14:val="tx1"/>
            </w14:solidFill>
          </w14:textFill>
        </w:rPr>
        <w:t>regression metrics</w:t>
      </w:r>
      <w:r>
        <w:rPr>
          <w:rFonts w:ascii="Arial" w:hAnsi="Arial" w:eastAsia="Arial" w:cs="Arial"/>
          <w:color w:val="000000" w:themeColor="text1"/>
          <w:lang w:val="en-IN"/>
          <w14:textFill>
            <w14:solidFill>
              <w14:schemeClr w14:val="tx1"/>
            </w14:solidFill>
          </w14:textFill>
        </w:rPr>
        <w:t xml:space="preserve">, including </w:t>
      </w:r>
      <w:r>
        <w:rPr>
          <w:rFonts w:ascii="Arial" w:hAnsi="Arial" w:eastAsia="Arial" w:cs="Arial"/>
          <w:b/>
          <w:bCs/>
          <w:color w:val="000000" w:themeColor="text1"/>
          <w:lang w:val="en-IN"/>
          <w14:textFill>
            <w14:solidFill>
              <w14:schemeClr w14:val="tx1"/>
            </w14:solidFill>
          </w14:textFill>
        </w:rPr>
        <w:t xml:space="preserve">R² </w:t>
      </w:r>
      <w:r>
        <w:rPr>
          <w:rFonts w:ascii="Arial" w:hAnsi="Arial" w:eastAsia="Arial" w:cs="Arial"/>
          <w:color w:val="000000" w:themeColor="text1"/>
          <w:lang w:val="en-IN"/>
          <w14:textFill>
            <w14:solidFill>
              <w14:schemeClr w14:val="tx1"/>
            </w14:solidFill>
          </w14:textFill>
        </w:rPr>
        <w:t>(Coefficient of Determination)</w:t>
      </w:r>
      <w:r>
        <w:rPr>
          <w:rFonts w:ascii="Arial" w:hAnsi="Arial" w:eastAsia="Arial" w:cs="Arial"/>
          <w:b/>
          <w:bCs/>
          <w:color w:val="000000" w:themeColor="text1"/>
          <w:lang w:val="en-IN"/>
          <w14:textFill>
            <w14:solidFill>
              <w14:schemeClr w14:val="tx1"/>
            </w14:solidFill>
          </w14:textFill>
        </w:rPr>
        <w:t xml:space="preserve">, </w:t>
      </w:r>
      <w:r>
        <w:rPr>
          <w:rFonts w:ascii="Arial" w:hAnsi="Arial" w:eastAsia="Arial" w:cs="Arial"/>
          <w:color w:val="000000" w:themeColor="text1"/>
          <w:lang w:val="en-IN"/>
          <w14:textFill>
            <w14:solidFill>
              <w14:schemeClr w14:val="tx1"/>
            </w14:solidFill>
          </w14:textFill>
        </w:rPr>
        <w:t xml:space="preserve">Mean Squared Error </w:t>
      </w:r>
      <w:r>
        <w:rPr>
          <w:rFonts w:ascii="Arial" w:hAnsi="Arial" w:eastAsia="Arial" w:cs="Arial"/>
          <w:b/>
          <w:bCs/>
          <w:color w:val="000000" w:themeColor="text1"/>
          <w:lang w:val="en-IN"/>
          <w14:textFill>
            <w14:solidFill>
              <w14:schemeClr w14:val="tx1"/>
            </w14:solidFill>
          </w14:textFill>
        </w:rPr>
        <w:t xml:space="preserve">(MSE), and </w:t>
      </w:r>
      <w:r>
        <w:rPr>
          <w:rFonts w:ascii="Arial" w:hAnsi="Arial" w:eastAsia="Arial" w:cs="Arial"/>
          <w:color w:val="000000" w:themeColor="text1"/>
          <w:lang w:val="en-IN"/>
          <w14:textFill>
            <w14:solidFill>
              <w14:schemeClr w14:val="tx1"/>
            </w14:solidFill>
          </w14:textFill>
        </w:rPr>
        <w:t>Root Mean Squared Error</w:t>
      </w:r>
      <w:r>
        <w:rPr>
          <w:rFonts w:ascii="Arial" w:hAnsi="Arial" w:eastAsia="Arial" w:cs="Arial"/>
          <w:b/>
          <w:bCs/>
          <w:color w:val="000000" w:themeColor="text1"/>
          <w:lang w:val="en-IN"/>
          <w14:textFill>
            <w14:solidFill>
              <w14:schemeClr w14:val="tx1"/>
            </w14:solidFill>
          </w14:textFill>
        </w:rPr>
        <w:t xml:space="preserve"> (RMSE)</w:t>
      </w:r>
      <w:r>
        <w:rPr>
          <w:rFonts w:ascii="Arial" w:hAnsi="Arial" w:eastAsia="Arial" w:cs="Arial"/>
          <w:color w:val="000000" w:themeColor="text1"/>
          <w:lang w:val="en-IN"/>
          <w14:textFill>
            <w14:solidFill>
              <w14:schemeClr w14:val="tx1"/>
            </w14:solidFill>
          </w14:textFill>
        </w:rPr>
        <w:t xml:space="preserve"> to ensure robust, reliable </w:t>
      </w:r>
      <w:r>
        <w:rPr>
          <w:rFonts w:ascii="Arial" w:hAnsi="Arial" w:eastAsia="Arial" w:cs="Arial"/>
          <w:color w:val="000000" w:themeColor="text1"/>
          <w14:textFill>
            <w14:solidFill>
              <w14:schemeClr w14:val="tx1"/>
            </w14:solidFill>
          </w14:textFill>
        </w:rPr>
        <w:t>and data-driven predictions</w:t>
      </w:r>
      <w:r>
        <w:rPr>
          <w:rFonts w:ascii="Arial" w:hAnsi="Arial" w:eastAsia="Arial" w:cs="Arial"/>
          <w:color w:val="000000" w:themeColor="text1"/>
          <w:lang w:val="en-IN"/>
          <w14:textFill>
            <w14:solidFill>
              <w14:schemeClr w14:val="tx1"/>
            </w14:solidFill>
          </w14:textFill>
        </w:rPr>
        <w:t>. This approach will provide data-driven insights that empower consumers to make more sustainable and cost-effective vehicle choices based on quantifiable financial and environmental impacts.</w:t>
      </w:r>
    </w:p>
    <w:p w14:paraId="3560B2FF">
      <w:pPr>
        <w:spacing w:line="276" w:lineRule="auto"/>
        <w:rPr>
          <w:rFonts w:ascii="Arial" w:hAnsi="Arial" w:eastAsia="Arial" w:cs="Arial"/>
          <w:color w:val="000000" w:themeColor="text1"/>
          <w14:textFill>
            <w14:solidFill>
              <w14:schemeClr w14:val="tx1"/>
            </w14:solidFill>
          </w14:textFill>
        </w:rPr>
      </w:pPr>
    </w:p>
    <w:p w14:paraId="74E3BBB4">
      <w:pPr>
        <w:spacing w:line="276" w:lineRule="auto"/>
        <w:rPr>
          <w:rFonts w:eastAsia="system-ui"/>
          <w:b/>
          <w:color w:val="005778" w:themeColor="accent4" w:themeShade="80"/>
          <w:sz w:val="28"/>
          <w:szCs w:val="24"/>
          <w:u w:val="single"/>
          <w:lang w:val="en-IN"/>
        </w:rPr>
      </w:pPr>
      <w:r>
        <w:rPr>
          <w:rFonts w:eastAsia="system-ui"/>
          <w:b/>
          <w:color w:val="005778" w:themeColor="accent4" w:themeShade="80"/>
          <w:sz w:val="28"/>
          <w:szCs w:val="24"/>
          <w:u w:val="single"/>
          <w:lang w:val="en-IN"/>
        </w:rPr>
        <w:t>Justification</w:t>
      </w:r>
    </w:p>
    <w:p w14:paraId="760D908D">
      <w:pPr>
        <w:spacing w:line="276" w:lineRule="auto"/>
        <w:rPr>
          <w:rFonts w:ascii="Arial" w:hAnsi="Arial" w:eastAsia="Arial" w:cs="Arial"/>
          <w:color w:val="000000" w:themeColor="text1"/>
          <w14:textFill>
            <w14:solidFill>
              <w14:schemeClr w14:val="tx1"/>
            </w14:solidFill>
          </w14:textFill>
        </w:rPr>
      </w:pPr>
    </w:p>
    <w:p w14:paraId="6D313B43">
      <w:pPr>
        <w:spacing w:line="276" w:lineRule="auto"/>
        <w:ind w:firstLine="720"/>
        <w:rPr>
          <w:rFonts w:ascii="Arial" w:hAnsi="Arial" w:eastAsia="Arial" w:cs="Arial"/>
          <w:color w:val="000000" w:themeColor="text1"/>
          <w:lang w:val="en-IN"/>
          <w14:textFill>
            <w14:solidFill>
              <w14:schemeClr w14:val="tx1"/>
            </w14:solidFill>
          </w14:textFill>
        </w:rPr>
      </w:pPr>
      <w:r>
        <w:rPr>
          <w:rFonts w:ascii="Arial" w:hAnsi="Arial" w:eastAsia="Arial" w:cs="Arial"/>
          <w:color w:val="000000" w:themeColor="text1"/>
          <w:lang w:val="en-IN"/>
          <w14:textFill>
            <w14:solidFill>
              <w14:schemeClr w14:val="tx1"/>
            </w14:solidFill>
          </w14:textFill>
        </w:rPr>
        <w:t xml:space="preserve">The lack of predictive cost analysis in existing fuel efficiency tools leaves consumers without the necessary insights to make informed decisions. Our machine learning approach fills this gap by dynamically estimating fuel costs, emissions, and carbon tax implications, offering a personalized, data-driven decision-making tool. Since our dataset involves continuous numerical predictions, regression metrics like </w:t>
      </w:r>
      <w:r>
        <w:rPr>
          <w:rFonts w:ascii="Arial" w:hAnsi="Arial" w:eastAsia="Arial" w:cs="Arial"/>
          <w:b/>
          <w:bCs/>
          <w:color w:val="000000" w:themeColor="text1"/>
          <w:lang w:val="en-IN"/>
          <w14:textFill>
            <w14:solidFill>
              <w14:schemeClr w14:val="tx1"/>
            </w14:solidFill>
          </w14:textFill>
        </w:rPr>
        <w:t>R², MSE, and RMSE</w:t>
      </w:r>
      <w:r>
        <w:rPr>
          <w:rFonts w:ascii="Arial" w:hAnsi="Arial" w:eastAsia="Arial" w:cs="Arial"/>
          <w:color w:val="000000" w:themeColor="text1"/>
          <w:lang w:val="en-IN"/>
          <w14:textFill>
            <w14:solidFill>
              <w14:schemeClr w14:val="tx1"/>
            </w14:solidFill>
          </w14:textFill>
        </w:rPr>
        <w:t xml:space="preserve"> are more appropriate than classification-based accuracy, ensuring a more precise and reliable model evaluation.</w:t>
      </w:r>
    </w:p>
    <w:p w14:paraId="14BB647E">
      <w:pPr>
        <w:spacing w:line="276" w:lineRule="auto"/>
        <w:ind w:firstLine="720"/>
        <w:rPr>
          <w:rFonts w:ascii="Arial" w:hAnsi="Arial" w:eastAsia="Arial" w:cs="Arial"/>
          <w:color w:val="000000" w:themeColor="text1"/>
          <w:lang w:val="en-IN"/>
          <w14:textFill>
            <w14:solidFill>
              <w14:schemeClr w14:val="tx1"/>
            </w14:solidFill>
          </w14:textFill>
        </w:rPr>
      </w:pPr>
      <w:r>
        <w:rPr>
          <w:rFonts w:ascii="Arial" w:hAnsi="Arial" w:eastAsia="Arial" w:cs="Arial"/>
          <w:color w:val="000000" w:themeColor="text1"/>
          <w:lang w:val="en-IN"/>
          <w14:textFill>
            <w14:solidFill>
              <w14:schemeClr w14:val="tx1"/>
            </w14:solidFill>
          </w14:textFill>
        </w:rPr>
        <w:t>R² helps explain how well our model accounts for variance in fuel costs, while MSE and RMSE</w:t>
      </w:r>
      <w:r>
        <w:rPr>
          <w:rFonts w:ascii="Arial" w:hAnsi="Arial" w:eastAsia="Arial" w:cs="Arial"/>
          <w:b/>
          <w:bCs/>
          <w:color w:val="000000" w:themeColor="text1"/>
          <w:lang w:val="en-IN"/>
          <w14:textFill>
            <w14:solidFill>
              <w14:schemeClr w14:val="tx1"/>
            </w14:solidFill>
          </w14:textFill>
        </w:rPr>
        <w:t xml:space="preserve"> </w:t>
      </w:r>
      <w:r>
        <w:rPr>
          <w:rFonts w:ascii="Arial" w:hAnsi="Arial" w:eastAsia="Arial" w:cs="Arial"/>
          <w:color w:val="000000" w:themeColor="text1"/>
          <w:lang w:val="en-IN"/>
          <w14:textFill>
            <w14:solidFill>
              <w14:schemeClr w14:val="tx1"/>
            </w14:solidFill>
          </w14:textFill>
        </w:rPr>
        <w:t>minimize prediction errors, improving the trustworthiness of cost analysis. Ultimately, our dashboard empowers consumers with transparent financial and environmental insights, guiding them toward fuel-efficient and eco-friendly vehicle choices that align with both economic savings and sustainability goals.</w:t>
      </w:r>
    </w:p>
    <w:p w14:paraId="3541A23A">
      <w:pPr>
        <w:spacing w:line="276" w:lineRule="auto"/>
        <w:rPr>
          <w:rFonts w:ascii="Arial" w:hAnsi="Arial" w:eastAsia="Arial" w:cs="Arial"/>
          <w:color w:val="000000" w:themeColor="text1"/>
          <w14:textFill>
            <w14:solidFill>
              <w14:schemeClr w14:val="tx1"/>
            </w14:solidFill>
          </w14:textFill>
        </w:rPr>
      </w:pPr>
    </w:p>
    <w:p w14:paraId="2E5CC64A">
      <w:pPr>
        <w:spacing w:line="276" w:lineRule="auto"/>
        <w:rPr>
          <w:rFonts w:ascii="Arial" w:hAnsi="Arial" w:eastAsia="Arial" w:cs="Arial"/>
          <w:color w:val="000000" w:themeColor="text1" w:themeTint="FF"/>
          <w14:textFill>
            <w14:solidFill>
              <w14:schemeClr w14:val="tx1">
                <w14:lumMod w14:val="100000"/>
                <w14:lumOff w14:val="0"/>
              </w14:schemeClr>
            </w14:solidFill>
          </w14:textFill>
        </w:rPr>
      </w:pPr>
    </w:p>
    <w:tbl>
      <w:tblPr>
        <w:tblStyle w:val="7"/>
        <w:tblpPr w:leftFromText="180" w:rightFromText="180" w:vertAnchor="page" w:horzAnchor="margin" w:tblpY="2010"/>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6"/>
      </w:tblGrid>
      <w:tr w14:paraId="33122569">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800" w:type="dxa"/>
          </w:tcPr>
          <w:p w14:paraId="57F37D13">
            <w:pPr>
              <w:pStyle w:val="2"/>
              <w:numPr>
                <w:ilvl w:val="0"/>
                <w:numId w:val="8"/>
              </w:numPr>
            </w:pPr>
            <w:bookmarkStart w:id="1" w:name="_Toc1584413838"/>
            <w:r>
              <w:t>PROJECT SIGNIFICANCE</w:t>
            </w:r>
            <w:bookmarkEnd w:id="1"/>
          </w:p>
        </w:tc>
      </w:tr>
    </w:tbl>
    <w:p w14:paraId="6BE24071">
      <w:pPr>
        <w:jc w:val="both"/>
        <w:rPr>
          <w:rFonts w:eastAsiaTheme="minorEastAsia"/>
          <w:color w:val="000000" w:themeColor="text1"/>
          <w:szCs w:val="24"/>
          <w14:textFill>
            <w14:solidFill>
              <w14:schemeClr w14:val="tx1"/>
            </w14:solidFill>
          </w14:textFill>
        </w:rPr>
      </w:pPr>
      <w:r>
        <w:t xml:space="preserve">          </w:t>
      </w:r>
      <w:r>
        <w:rPr>
          <w:rFonts w:eastAsiaTheme="minorEastAsia"/>
          <w:color w:val="000000" w:themeColor="text1"/>
          <w:szCs w:val="24"/>
          <w14:textFill>
            <w14:solidFill>
              <w14:schemeClr w14:val="tx1"/>
            </w14:solidFill>
          </w14:textFill>
        </w:rPr>
        <w:t xml:space="preserve"> </w:t>
      </w:r>
    </w:p>
    <w:p w14:paraId="5F7A8568">
      <w:pPr>
        <w:ind w:firstLine="720" w:firstLineChars="300"/>
        <w:jc w:val="both"/>
        <w:rPr>
          <w:rFonts w:ascii="Arial" w:hAnsi="Arial" w:eastAsia="Arial" w:cs="Arial"/>
          <w:color w:val="000000" w:themeColor="text1"/>
          <w14:textFill>
            <w14:solidFill>
              <w14:schemeClr w14:val="tx1"/>
            </w14:solidFill>
          </w14:textFill>
        </w:rPr>
      </w:pPr>
      <w:r>
        <w:rPr>
          <w:rFonts w:eastAsiaTheme="minorEastAsia"/>
          <w:color w:val="000000" w:themeColor="text1"/>
          <w:szCs w:val="24"/>
          <w14:textFill>
            <w14:solidFill>
              <w14:schemeClr w14:val="tx1"/>
            </w14:solidFill>
          </w14:textFill>
        </w:rPr>
        <w:t>This research is important because it addresses a crucial problem that affects consumers and regulatory agencies alike: CO2 emissions and car fuel economy. The initiative intends to optimize carbon tax estimates, improve government regulations on fuel efficiency standards, and give consumers relevant insights by utilizing analysis of data and machine learning.</w:t>
      </w:r>
    </w:p>
    <w:p w14:paraId="49F0F386">
      <w:pPr>
        <w:jc w:val="both"/>
        <w:rPr>
          <w:rFonts w:ascii="Arial" w:hAnsi="Arial" w:eastAsia="Arial" w:cs="Arial"/>
          <w:color w:val="000000" w:themeColor="text1"/>
          <w14:textFill>
            <w14:solidFill>
              <w14:schemeClr w14:val="tx1"/>
            </w14:solidFill>
          </w14:textFill>
        </w:rPr>
      </w:pPr>
      <w:r>
        <w:rPr>
          <w:rFonts w:eastAsiaTheme="minorEastAsia"/>
          <w:color w:val="000000" w:themeColor="text1"/>
          <w:szCs w:val="24"/>
          <w14:textFill>
            <w14:solidFill>
              <w14:schemeClr w14:val="tx1"/>
            </w14:solidFill>
          </w14:textFill>
        </w:rPr>
        <w:t xml:space="preserve"> </w:t>
      </w:r>
      <w:r>
        <w:rPr>
          <w:rFonts w:hint="default" w:eastAsiaTheme="minorEastAsia"/>
          <w:color w:val="000000" w:themeColor="text1"/>
          <w:szCs w:val="24"/>
          <w:lang w:val="en-US"/>
          <w14:textFill>
            <w14:solidFill>
              <w14:schemeClr w14:val="tx1"/>
            </w14:solidFill>
          </w14:textFill>
        </w:rPr>
        <w:t xml:space="preserve">          </w:t>
      </w:r>
      <w:r>
        <w:rPr>
          <w:rFonts w:eastAsiaTheme="minorEastAsia"/>
          <w:color w:val="000000" w:themeColor="text1"/>
          <w:szCs w:val="24"/>
          <w14:textFill>
            <w14:solidFill>
              <w14:schemeClr w14:val="tx1"/>
            </w14:solidFill>
          </w14:textFill>
        </w:rPr>
        <w:t>In addition to saving money for both individuals and businesses, lowering fuel use and CO2 emissions promotes environmental sustainability. The project will show how data-driven approaches may be used practically to enhance decision-making in the automobile industry. It will also give manufacturers useful information to improve car designs and make sure they comply with regulations. This project promotes greener mobility options by bridging the gap between access to data and actionable insight through the integration of predictive analytics into an enhanced EnerGuide dashboard.</w:t>
      </w:r>
    </w:p>
    <w:p w14:paraId="16CD6ED4">
      <w:pPr>
        <w:spacing w:line="240" w:lineRule="auto"/>
        <w:rPr>
          <w:rFonts w:ascii="Arial" w:hAnsi="Arial" w:eastAsia="Arial" w:cs="Arial"/>
          <w:color w:val="000000" w:themeColor="text1"/>
          <w:sz w:val="22"/>
          <w14:textFill>
            <w14:solidFill>
              <w14:schemeClr w14:val="tx1"/>
            </w14:solidFill>
          </w14:textFill>
        </w:rPr>
      </w:pPr>
    </w:p>
    <w:tbl>
      <w:tblPr>
        <w:tblStyle w:val="7"/>
        <w:tblpPr w:leftFromText="180" w:rightFromText="180" w:vertAnchor="page" w:horzAnchor="page" w:tblpX="700" w:tblpY="7664"/>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6"/>
      </w:tblGrid>
      <w:tr w14:paraId="5CA0BD76">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1016" w:type="dxa"/>
          </w:tcPr>
          <w:p w14:paraId="6A704433">
            <w:pPr>
              <w:pStyle w:val="2"/>
              <w:numPr>
                <w:ilvl w:val="0"/>
                <w:numId w:val="8"/>
              </w:numPr>
              <w:rPr>
                <w:rFonts w:cstheme="minorAscii"/>
              </w:rPr>
            </w:pPr>
            <w:bookmarkStart w:id="2" w:name="_Toc168374433"/>
            <w:r>
              <w:t>ANTICIPATED OUTCOMES</w:t>
            </w:r>
            <w:bookmarkEnd w:id="2"/>
          </w:p>
        </w:tc>
      </w:tr>
    </w:tbl>
    <w:p w14:paraId="0297C7FC">
      <w:pPr>
        <w:pStyle w:val="5"/>
        <w:spacing w:line="240" w:lineRule="auto"/>
        <w:rPr>
          <w:rFonts w:ascii="Arial" w:hAnsi="Arial" w:eastAsia="Arial" w:cs="Arial"/>
          <w:b/>
          <w:bCs/>
          <w:i w:val="0"/>
          <w:iCs w:val="0"/>
          <w:color w:val="000000" w:themeColor="text1" w:themeTint="FF"/>
          <w:sz w:val="28"/>
          <w:szCs w:val="28"/>
          <w14:textFill>
            <w14:solidFill>
              <w14:schemeClr w14:val="tx1">
                <w14:lumMod w14:val="100000"/>
                <w14:lumOff w14:val="0"/>
              </w14:schemeClr>
            </w14:solidFill>
          </w14:textFill>
        </w:rPr>
      </w:pPr>
    </w:p>
    <w:p w14:paraId="501B73B5">
      <w:pPr>
        <w:pStyle w:val="5"/>
        <w:spacing w:line="240" w:lineRule="auto"/>
        <w:rPr>
          <w:rFonts w:ascii="Arial" w:hAnsi="Arial" w:eastAsia="Arial" w:cs="Arial"/>
          <w:b/>
          <w:bCs/>
          <w:i w:val="0"/>
          <w:iCs w:val="0"/>
          <w:color w:val="000000" w:themeColor="text1"/>
          <w:sz w:val="28"/>
          <w:szCs w:val="28"/>
          <w14:textFill>
            <w14:solidFill>
              <w14:schemeClr w14:val="tx1"/>
            </w14:solidFill>
          </w14:textFill>
        </w:rPr>
      </w:pPr>
      <w:r>
        <w:rPr>
          <w:rFonts w:ascii="Arial" w:hAnsi="Arial" w:eastAsia="Arial" w:cs="Arial"/>
          <w:b/>
          <w:bCs/>
          <w:i w:val="0"/>
          <w:iCs w:val="0"/>
          <w:color w:val="000000" w:themeColor="text1" w:themeTint="FF"/>
          <w:sz w:val="28"/>
          <w:szCs w:val="28"/>
          <w14:textFill>
            <w14:solidFill>
              <w14:schemeClr w14:val="tx1">
                <w14:lumMod w14:val="100000"/>
                <w14:lumOff w14:val="0"/>
              </w14:schemeClr>
            </w14:solidFill>
          </w14:textFill>
        </w:rPr>
        <w:t>1. On Empowering Consumers with Data-Driven Insights</w:t>
      </w:r>
    </w:p>
    <w:p w14:paraId="16B3CE84">
      <w:pPr>
        <w:pStyle w:val="34"/>
        <w:numPr>
          <w:ilvl w:val="0"/>
          <w:numId w:val="9"/>
        </w:numPr>
        <w:spacing w:before="0" w:after="0" w:line="240" w:lineRule="auto"/>
        <w:rPr>
          <w:rFonts w:ascii="Arial" w:hAnsi="Arial" w:eastAsia="Arial" w:cs="Arial"/>
          <w:szCs w:val="24"/>
        </w:rPr>
      </w:pPr>
      <w:r>
        <w:rPr>
          <w:rFonts w:ascii="Arial" w:hAnsi="Arial" w:eastAsia="Arial" w:cs="Arial"/>
          <w:szCs w:val="24"/>
        </w:rPr>
        <w:t xml:space="preserve">The Consumers will also receive </w:t>
      </w:r>
      <w:r>
        <w:rPr>
          <w:rFonts w:ascii="Arial" w:hAnsi="Arial" w:eastAsia="Arial" w:cs="Arial"/>
          <w:b/>
          <w:bCs/>
          <w:szCs w:val="24"/>
        </w:rPr>
        <w:t>personalized estimates</w:t>
      </w:r>
      <w:r>
        <w:rPr>
          <w:rFonts w:ascii="Arial" w:hAnsi="Arial" w:eastAsia="Arial" w:cs="Arial"/>
          <w:szCs w:val="24"/>
        </w:rPr>
        <w:t xml:space="preserve"> such as fuel costs, emissions, and carbon taxes, helping them make informed vehicle choices.</w:t>
      </w:r>
    </w:p>
    <w:p w14:paraId="0389F82C">
      <w:pPr>
        <w:pStyle w:val="34"/>
        <w:numPr>
          <w:ilvl w:val="0"/>
          <w:numId w:val="9"/>
        </w:numPr>
        <w:spacing w:before="0" w:after="0" w:line="240" w:lineRule="auto"/>
        <w:rPr>
          <w:rFonts w:ascii="Arial" w:hAnsi="Arial" w:eastAsia="Arial" w:cs="Arial"/>
          <w:b/>
        </w:rPr>
      </w:pPr>
      <w:r>
        <w:rPr>
          <w:rFonts w:ascii="Arial" w:hAnsi="Arial" w:eastAsia="Arial" w:cs="Arial"/>
        </w:rPr>
        <w:t xml:space="preserve">The dashboard will be </w:t>
      </w:r>
      <w:r>
        <w:rPr>
          <w:rFonts w:ascii="Arial" w:hAnsi="Arial" w:eastAsia="Arial" w:cs="Arial"/>
          <w:b/>
        </w:rPr>
        <w:t>real-time comparisons</w:t>
      </w:r>
      <w:r>
        <w:rPr>
          <w:rFonts w:ascii="Arial" w:hAnsi="Arial" w:eastAsia="Arial" w:cs="Arial"/>
        </w:rPr>
        <w:t xml:space="preserve"> of different vehicle models.</w:t>
      </w:r>
    </w:p>
    <w:p w14:paraId="3B2979F4">
      <w:pPr>
        <w:pStyle w:val="5"/>
        <w:spacing w:before="0" w:line="240" w:lineRule="auto"/>
        <w:rPr>
          <w:rFonts w:ascii="Arial" w:hAnsi="Arial" w:eastAsia="Arial" w:cs="Arial"/>
          <w:b/>
        </w:rPr>
      </w:pPr>
    </w:p>
    <w:p w14:paraId="60B11AC2">
      <w:pPr>
        <w:pStyle w:val="5"/>
        <w:spacing w:before="0" w:line="240" w:lineRule="auto"/>
        <w:rPr>
          <w:rFonts w:ascii="Arial" w:hAnsi="Arial" w:eastAsia="Arial" w:cs="Arial"/>
          <w:b/>
          <w:bCs/>
          <w:i w:val="0"/>
          <w:iCs w:val="0"/>
          <w:color w:val="000000" w:themeColor="text1"/>
          <w:sz w:val="28"/>
          <w:szCs w:val="28"/>
          <w14:textFill>
            <w14:solidFill>
              <w14:schemeClr w14:val="tx1"/>
            </w14:solidFill>
          </w14:textFill>
        </w:rPr>
      </w:pPr>
      <w:r>
        <w:rPr>
          <w:rFonts w:ascii="Arial" w:hAnsi="Arial" w:eastAsia="Arial" w:cs="Arial"/>
          <w:b/>
          <w:bCs/>
          <w:i w:val="0"/>
          <w:iCs w:val="0"/>
          <w:color w:val="000000" w:themeColor="text1"/>
          <w:sz w:val="28"/>
          <w:szCs w:val="28"/>
          <w14:textFill>
            <w14:solidFill>
              <w14:schemeClr w14:val="tx1"/>
            </w14:solidFill>
          </w14:textFill>
        </w:rPr>
        <w:t>2. Enhanced Accuracy in Cost and Emissions Predictions</w:t>
      </w:r>
    </w:p>
    <w:p w14:paraId="7B1782FC">
      <w:pPr>
        <w:pStyle w:val="34"/>
        <w:numPr>
          <w:ilvl w:val="0"/>
          <w:numId w:val="9"/>
        </w:numPr>
        <w:spacing w:before="0" w:after="0" w:line="240" w:lineRule="auto"/>
        <w:rPr>
          <w:rFonts w:ascii="Arial" w:hAnsi="Arial" w:eastAsia="Arial" w:cs="Arial"/>
          <w:szCs w:val="24"/>
        </w:rPr>
      </w:pPr>
      <w:r>
        <w:rPr>
          <w:rFonts w:ascii="Arial" w:hAnsi="Arial" w:eastAsia="Arial" w:cs="Arial"/>
          <w:szCs w:val="24"/>
        </w:rPr>
        <w:t xml:space="preserve">The use of </w:t>
      </w:r>
      <w:r>
        <w:rPr>
          <w:rFonts w:ascii="Arial" w:hAnsi="Arial" w:eastAsia="Arial" w:cs="Arial"/>
          <w:b/>
          <w:bCs/>
          <w:szCs w:val="24"/>
        </w:rPr>
        <w:t>regression-based machine learning models</w:t>
      </w:r>
      <w:r>
        <w:rPr>
          <w:rFonts w:ascii="Arial" w:hAnsi="Arial" w:eastAsia="Arial" w:cs="Arial"/>
          <w:szCs w:val="24"/>
        </w:rPr>
        <w:t xml:space="preserve"> will enable </w:t>
      </w:r>
      <w:r>
        <w:rPr>
          <w:rFonts w:ascii="Arial" w:hAnsi="Arial" w:eastAsia="Arial" w:cs="Arial"/>
          <w:b/>
          <w:bCs/>
          <w:szCs w:val="24"/>
        </w:rPr>
        <w:t>more precise predictions</w:t>
      </w:r>
      <w:r>
        <w:rPr>
          <w:rFonts w:ascii="Arial" w:hAnsi="Arial" w:eastAsia="Arial" w:cs="Arial"/>
          <w:szCs w:val="24"/>
        </w:rPr>
        <w:t xml:space="preserve"> of fuel expenses and emissions.</w:t>
      </w:r>
    </w:p>
    <w:p w14:paraId="77E7FFB3">
      <w:pPr>
        <w:pStyle w:val="34"/>
        <w:numPr>
          <w:ilvl w:val="0"/>
          <w:numId w:val="9"/>
        </w:numPr>
        <w:spacing w:before="0" w:after="0" w:line="240" w:lineRule="auto"/>
        <w:rPr>
          <w:rFonts w:ascii="Arial" w:hAnsi="Arial" w:eastAsia="Arial" w:cs="Arial"/>
          <w:szCs w:val="24"/>
        </w:rPr>
      </w:pPr>
      <w:r>
        <w:rPr>
          <w:rFonts w:ascii="Arial" w:hAnsi="Arial" w:eastAsia="Arial" w:cs="Arial"/>
          <w:szCs w:val="24"/>
        </w:rPr>
        <w:t xml:space="preserve">By integrating </w:t>
      </w:r>
      <w:r>
        <w:rPr>
          <w:rFonts w:ascii="Arial" w:hAnsi="Arial" w:eastAsia="Arial" w:cs="Arial"/>
          <w:b/>
          <w:bCs/>
          <w:szCs w:val="24"/>
        </w:rPr>
        <w:t>real-world factors</w:t>
      </w:r>
      <w:r>
        <w:rPr>
          <w:rFonts w:ascii="Arial" w:hAnsi="Arial" w:eastAsia="Arial" w:cs="Arial"/>
          <w:szCs w:val="24"/>
        </w:rPr>
        <w:t xml:space="preserve"> such as fuel price changes, driving patterns, and regional tax rates, the tool will provide </w:t>
      </w:r>
      <w:r>
        <w:rPr>
          <w:rFonts w:ascii="Arial" w:hAnsi="Arial" w:eastAsia="Arial" w:cs="Arial"/>
          <w:b/>
          <w:bCs/>
          <w:szCs w:val="24"/>
        </w:rPr>
        <w:t>more accurate insights</w:t>
      </w:r>
      <w:r>
        <w:rPr>
          <w:rFonts w:ascii="Arial" w:hAnsi="Arial" w:eastAsia="Arial" w:cs="Arial"/>
          <w:szCs w:val="24"/>
        </w:rPr>
        <w:t xml:space="preserve"> than conventional static tools.</w:t>
      </w:r>
    </w:p>
    <w:p w14:paraId="42E83B21">
      <w:pPr>
        <w:pStyle w:val="34"/>
        <w:spacing w:before="0" w:after="0" w:line="240" w:lineRule="auto"/>
        <w:rPr>
          <w:rFonts w:ascii="Arial" w:hAnsi="Arial" w:eastAsia="Arial" w:cs="Arial"/>
          <w:szCs w:val="24"/>
        </w:rPr>
      </w:pPr>
    </w:p>
    <w:p w14:paraId="4FF6278D">
      <w:pPr>
        <w:pStyle w:val="5"/>
        <w:spacing w:line="240" w:lineRule="auto"/>
        <w:rPr>
          <w:rFonts w:ascii="Arial" w:hAnsi="Arial" w:eastAsia="Arial" w:cs="Arial"/>
          <w:b/>
          <w:bCs/>
          <w:i w:val="0"/>
          <w:iCs w:val="0"/>
          <w:color w:val="000000" w:themeColor="text1"/>
          <w:sz w:val="28"/>
          <w:szCs w:val="28"/>
          <w:u w:val="single"/>
          <w14:textFill>
            <w14:solidFill>
              <w14:schemeClr w14:val="tx1"/>
            </w14:solidFill>
          </w14:textFill>
        </w:rPr>
      </w:pPr>
      <w:r>
        <w:rPr>
          <w:rFonts w:ascii="Arial" w:hAnsi="Arial" w:eastAsia="Arial" w:cs="Arial"/>
          <w:b/>
          <w:bCs/>
          <w:i w:val="0"/>
          <w:iCs w:val="0"/>
          <w:color w:val="000000" w:themeColor="text1"/>
          <w:sz w:val="28"/>
          <w:szCs w:val="28"/>
          <w14:textFill>
            <w14:solidFill>
              <w14:schemeClr w14:val="tx1"/>
            </w14:solidFill>
          </w14:textFill>
        </w:rPr>
        <w:t>3. Supporting Policy Development with Improved Carbon Tax Estimates</w:t>
      </w:r>
    </w:p>
    <w:p w14:paraId="12559066">
      <w:pPr>
        <w:pStyle w:val="34"/>
        <w:numPr>
          <w:ilvl w:val="0"/>
          <w:numId w:val="9"/>
        </w:numPr>
        <w:spacing w:before="40" w:after="0" w:line="240" w:lineRule="auto"/>
        <w:rPr>
          <w:rFonts w:ascii="Arial" w:hAnsi="Arial" w:eastAsia="Arial" w:cs="Arial"/>
        </w:rPr>
      </w:pPr>
      <w:r>
        <w:rPr>
          <w:rFonts w:ascii="Arial" w:hAnsi="Arial" w:eastAsia="Arial" w:cs="Arial"/>
        </w:rPr>
        <w:t>The system will offer dynamic projections for carbon tax costs, assisting policymakers in refining regulations.</w:t>
      </w:r>
    </w:p>
    <w:p w14:paraId="2B6A7BC7">
      <w:pPr>
        <w:pStyle w:val="34"/>
        <w:numPr>
          <w:ilvl w:val="0"/>
          <w:numId w:val="9"/>
        </w:numPr>
        <w:spacing w:before="40" w:line="240" w:lineRule="auto"/>
        <w:rPr>
          <w:rFonts w:ascii="Arial" w:hAnsi="Arial" w:eastAsia="Arial" w:cs="Arial"/>
          <w:szCs w:val="24"/>
        </w:rPr>
      </w:pPr>
      <w:r>
        <w:rPr>
          <w:rFonts w:ascii="Arial" w:hAnsi="Arial" w:eastAsia="Arial" w:cs="Arial"/>
          <w:szCs w:val="24"/>
        </w:rPr>
        <w:t xml:space="preserve">Insights from the dashboard can help governments </w:t>
      </w:r>
      <w:r>
        <w:rPr>
          <w:rFonts w:ascii="Arial" w:hAnsi="Arial" w:eastAsia="Arial" w:cs="Arial"/>
          <w:b/>
          <w:bCs/>
          <w:szCs w:val="24"/>
        </w:rPr>
        <w:t>improve fuel efficiency policies</w:t>
      </w:r>
      <w:r>
        <w:rPr>
          <w:rFonts w:ascii="Arial" w:hAnsi="Arial" w:eastAsia="Arial" w:cs="Arial"/>
          <w:szCs w:val="24"/>
        </w:rPr>
        <w:t xml:space="preserve"> and introduce incentives for eco-friendly vehicle adoption.</w:t>
      </w:r>
    </w:p>
    <w:p w14:paraId="7DADC80B">
      <w:pPr>
        <w:pStyle w:val="5"/>
        <w:spacing w:after="120" w:line="240" w:lineRule="auto"/>
        <w:rPr>
          <w:rFonts w:ascii="Arial" w:hAnsi="Arial" w:eastAsia="Arial" w:cs="Arial"/>
          <w:b/>
          <w:bCs/>
          <w:i w:val="0"/>
          <w:iCs w:val="0"/>
          <w:color w:val="000000" w:themeColor="text1"/>
          <w:sz w:val="28"/>
          <w:szCs w:val="28"/>
          <w14:textFill>
            <w14:solidFill>
              <w14:schemeClr w14:val="tx1"/>
            </w14:solidFill>
          </w14:textFill>
        </w:rPr>
      </w:pPr>
      <w:r>
        <w:rPr>
          <w:rFonts w:ascii="Arial" w:hAnsi="Arial" w:eastAsia="Arial" w:cs="Arial"/>
          <w:b/>
          <w:bCs/>
          <w:i w:val="0"/>
          <w:iCs w:val="0"/>
          <w:color w:val="000000" w:themeColor="text1"/>
          <w:sz w:val="28"/>
          <w:szCs w:val="28"/>
          <w14:textFill>
            <w14:solidFill>
              <w14:schemeClr w14:val="tx1"/>
            </w14:solidFill>
          </w14:textFill>
        </w:rPr>
        <w:t>4. Helping Automakers Improve Vehicle Efficiency</w:t>
      </w:r>
    </w:p>
    <w:p w14:paraId="355DFF57">
      <w:pPr>
        <w:pStyle w:val="34"/>
        <w:numPr>
          <w:ilvl w:val="0"/>
          <w:numId w:val="9"/>
        </w:numPr>
        <w:spacing w:before="40" w:line="240" w:lineRule="auto"/>
        <w:rPr>
          <w:rFonts w:ascii="Arial" w:hAnsi="Arial" w:eastAsia="Arial" w:cs="Arial"/>
          <w:szCs w:val="24"/>
        </w:rPr>
      </w:pPr>
      <w:r>
        <w:rPr>
          <w:rFonts w:ascii="Arial" w:hAnsi="Arial" w:eastAsia="Arial" w:cs="Arial"/>
          <w:szCs w:val="24"/>
        </w:rPr>
        <w:t xml:space="preserve">Automakers will gain access to </w:t>
      </w:r>
      <w:r>
        <w:rPr>
          <w:rFonts w:ascii="Arial" w:hAnsi="Arial" w:eastAsia="Arial" w:cs="Arial"/>
          <w:b/>
          <w:bCs/>
          <w:szCs w:val="24"/>
        </w:rPr>
        <w:t>detailed analytics</w:t>
      </w:r>
      <w:r>
        <w:rPr>
          <w:rFonts w:ascii="Arial" w:hAnsi="Arial" w:eastAsia="Arial" w:cs="Arial"/>
          <w:szCs w:val="24"/>
        </w:rPr>
        <w:t xml:space="preserve"> on vehicle efficiency, enabling improvements in design and compliance with emission standards.</w:t>
      </w:r>
    </w:p>
    <w:p w14:paraId="55FAE0DE">
      <w:pPr>
        <w:pStyle w:val="34"/>
        <w:numPr>
          <w:ilvl w:val="0"/>
          <w:numId w:val="9"/>
        </w:numPr>
        <w:spacing w:before="40" w:line="240" w:lineRule="auto"/>
        <w:rPr>
          <w:rFonts w:ascii="Arial" w:hAnsi="Arial" w:eastAsia="Arial" w:cs="Arial"/>
          <w:szCs w:val="24"/>
        </w:rPr>
      </w:pPr>
      <w:r>
        <w:rPr>
          <w:rFonts w:ascii="Arial" w:hAnsi="Arial" w:eastAsia="Arial" w:cs="Arial"/>
          <w:szCs w:val="24"/>
        </w:rPr>
        <w:t xml:space="preserve">This tool may also highlight </w:t>
      </w:r>
      <w:r>
        <w:rPr>
          <w:rFonts w:ascii="Arial" w:hAnsi="Arial" w:eastAsia="Arial" w:cs="Arial"/>
          <w:b/>
          <w:bCs/>
          <w:szCs w:val="24"/>
        </w:rPr>
        <w:t>consumer trends</w:t>
      </w:r>
      <w:r>
        <w:rPr>
          <w:rFonts w:ascii="Arial" w:hAnsi="Arial" w:eastAsia="Arial" w:cs="Arial"/>
          <w:szCs w:val="24"/>
        </w:rPr>
        <w:t xml:space="preserve"> related to fuel economy, guiding manufacturers in developing more sustainable vehicles.</w:t>
      </w:r>
    </w:p>
    <w:p w14:paraId="14DBB200">
      <w:pPr>
        <w:pStyle w:val="34"/>
        <w:spacing w:before="40" w:line="240" w:lineRule="auto"/>
        <w:rPr>
          <w:rFonts w:ascii="Arial" w:hAnsi="Arial" w:eastAsia="Arial" w:cs="Arial"/>
          <w:szCs w:val="24"/>
        </w:rPr>
      </w:pPr>
    </w:p>
    <w:p w14:paraId="443533FD">
      <w:pPr>
        <w:pStyle w:val="5"/>
        <w:spacing w:after="120" w:line="240" w:lineRule="auto"/>
        <w:rPr>
          <w:rFonts w:ascii="Arial" w:hAnsi="Arial" w:eastAsia="Arial" w:cs="Arial"/>
          <w:b/>
          <w:bCs/>
          <w:i w:val="0"/>
          <w:iCs w:val="0"/>
          <w:color w:val="000000" w:themeColor="text1"/>
          <w:sz w:val="28"/>
          <w:szCs w:val="28"/>
          <w14:textFill>
            <w14:solidFill>
              <w14:schemeClr w14:val="tx1"/>
            </w14:solidFill>
          </w14:textFill>
        </w:rPr>
      </w:pPr>
      <w:r>
        <w:rPr>
          <w:rFonts w:ascii="Arial" w:hAnsi="Arial" w:eastAsia="Arial" w:cs="Arial"/>
          <w:b/>
          <w:bCs/>
          <w:i w:val="0"/>
          <w:iCs w:val="0"/>
          <w:color w:val="000000" w:themeColor="text1"/>
          <w:sz w:val="28"/>
          <w:szCs w:val="28"/>
          <w14:textFill>
            <w14:solidFill>
              <w14:schemeClr w14:val="tx1"/>
            </w14:solidFill>
          </w14:textFill>
        </w:rPr>
        <w:t>5. Real-World Application of Machine Learning in Automotive Analysis</w:t>
      </w:r>
    </w:p>
    <w:p w14:paraId="626B13D0">
      <w:pPr>
        <w:pStyle w:val="34"/>
        <w:numPr>
          <w:ilvl w:val="0"/>
          <w:numId w:val="9"/>
        </w:numPr>
        <w:spacing w:before="40" w:line="240" w:lineRule="auto"/>
        <w:rPr>
          <w:rFonts w:ascii="Arial" w:hAnsi="Arial" w:eastAsia="Arial" w:cs="Arial"/>
          <w:szCs w:val="24"/>
        </w:rPr>
      </w:pPr>
      <w:r>
        <w:rPr>
          <w:rFonts w:ascii="Arial" w:hAnsi="Arial" w:eastAsia="Arial" w:cs="Arial"/>
          <w:szCs w:val="24"/>
        </w:rPr>
        <w:t xml:space="preserve">This project will also explain </w:t>
      </w:r>
      <w:r>
        <w:rPr>
          <w:rFonts w:ascii="Arial" w:hAnsi="Arial" w:eastAsia="Arial" w:cs="Arial"/>
          <w:b/>
          <w:bCs/>
          <w:szCs w:val="24"/>
        </w:rPr>
        <w:t>how predictive analytics can be used for decision-making</w:t>
      </w:r>
      <w:r>
        <w:rPr>
          <w:rFonts w:ascii="Arial" w:hAnsi="Arial" w:eastAsia="Arial" w:cs="Arial"/>
          <w:szCs w:val="24"/>
        </w:rPr>
        <w:t xml:space="preserve"> in the automotive industry.</w:t>
      </w:r>
    </w:p>
    <w:p w14:paraId="6DBD9C6B">
      <w:pPr>
        <w:pStyle w:val="34"/>
        <w:numPr>
          <w:ilvl w:val="0"/>
          <w:numId w:val="9"/>
        </w:numPr>
        <w:spacing w:before="40" w:line="240" w:lineRule="auto"/>
        <w:rPr>
          <w:rFonts w:ascii="Arial" w:hAnsi="Arial" w:eastAsia="Arial" w:cs="Arial"/>
          <w:szCs w:val="24"/>
        </w:rPr>
      </w:pPr>
      <w:r>
        <w:rPr>
          <w:rFonts w:ascii="Arial" w:hAnsi="Arial" w:eastAsia="Arial" w:cs="Arial"/>
          <w:szCs w:val="24"/>
        </w:rPr>
        <w:t xml:space="preserve">By converting </w:t>
      </w:r>
      <w:r>
        <w:rPr>
          <w:rFonts w:ascii="Arial" w:hAnsi="Arial" w:eastAsia="Arial" w:cs="Arial"/>
          <w:b/>
          <w:bCs/>
          <w:szCs w:val="24"/>
        </w:rPr>
        <w:t>raw data into actionable insights</w:t>
      </w:r>
      <w:r>
        <w:rPr>
          <w:rFonts w:ascii="Arial" w:hAnsi="Arial" w:eastAsia="Arial" w:cs="Arial"/>
          <w:szCs w:val="24"/>
        </w:rPr>
        <w:t xml:space="preserve">, it will also showcase the </w:t>
      </w:r>
      <w:r>
        <w:rPr>
          <w:rFonts w:ascii="Arial" w:hAnsi="Arial" w:eastAsia="Arial" w:cs="Arial"/>
          <w:b/>
          <w:bCs/>
          <w:szCs w:val="24"/>
        </w:rPr>
        <w:t>practical benefits of AI-driven solutions</w:t>
      </w:r>
      <w:r>
        <w:rPr>
          <w:rFonts w:ascii="Arial" w:hAnsi="Arial" w:eastAsia="Arial" w:cs="Arial"/>
          <w:szCs w:val="24"/>
        </w:rPr>
        <w:t xml:space="preserve"> for fuel efficiency analysis.</w:t>
      </w:r>
    </w:p>
    <w:p w14:paraId="365E7324">
      <w:pPr>
        <w:pStyle w:val="34"/>
        <w:spacing w:before="40" w:line="240" w:lineRule="auto"/>
        <w:rPr>
          <w:rFonts w:ascii="Arial" w:hAnsi="Arial" w:eastAsia="Arial" w:cs="Arial"/>
          <w:szCs w:val="24"/>
        </w:rPr>
      </w:pPr>
    </w:p>
    <w:p w14:paraId="5094AD18">
      <w:pPr>
        <w:pStyle w:val="5"/>
        <w:spacing w:after="120" w:line="240" w:lineRule="auto"/>
        <w:rPr>
          <w:rFonts w:ascii="Arial" w:hAnsi="Arial" w:eastAsia="Arial" w:cs="Arial"/>
          <w:b/>
          <w:bCs/>
          <w:i w:val="0"/>
          <w:iCs w:val="0"/>
          <w:color w:val="000000" w:themeColor="text1"/>
          <w:sz w:val="28"/>
          <w:szCs w:val="28"/>
          <w:u w:val="single"/>
          <w14:textFill>
            <w14:solidFill>
              <w14:schemeClr w14:val="tx1"/>
            </w14:solidFill>
          </w14:textFill>
        </w:rPr>
      </w:pPr>
      <w:r>
        <w:rPr>
          <w:rFonts w:ascii="Arial" w:hAnsi="Arial" w:eastAsia="Arial" w:cs="Arial"/>
          <w:b/>
          <w:bCs/>
          <w:i w:val="0"/>
          <w:iCs w:val="0"/>
          <w:color w:val="000000" w:themeColor="text1"/>
          <w:sz w:val="28"/>
          <w:szCs w:val="28"/>
          <w14:textFill>
            <w14:solidFill>
              <w14:schemeClr w14:val="tx1"/>
            </w14:solidFill>
          </w14:textFill>
        </w:rPr>
        <w:t>6. Encouraging Environmentally Friendly Transportation Choices</w:t>
      </w:r>
    </w:p>
    <w:p w14:paraId="69EE006B">
      <w:pPr>
        <w:pStyle w:val="34"/>
        <w:numPr>
          <w:ilvl w:val="0"/>
          <w:numId w:val="9"/>
        </w:numPr>
        <w:spacing w:before="40" w:line="240" w:lineRule="auto"/>
        <w:rPr>
          <w:rFonts w:ascii="Arial" w:hAnsi="Arial" w:eastAsia="Arial" w:cs="Arial"/>
          <w:szCs w:val="24"/>
        </w:rPr>
      </w:pPr>
      <w:r>
        <w:rPr>
          <w:rFonts w:ascii="Arial" w:hAnsi="Arial" w:eastAsia="Arial" w:cs="Arial"/>
          <w:szCs w:val="24"/>
        </w:rPr>
        <w:t>The dashboard will also promote fuel efficiency and sustainability of fuel efficiency and sustainability, helping reduce carbon footprints.</w:t>
      </w:r>
    </w:p>
    <w:p w14:paraId="3344E7EE">
      <w:pPr>
        <w:pStyle w:val="34"/>
        <w:numPr>
          <w:ilvl w:val="0"/>
          <w:numId w:val="9"/>
        </w:numPr>
        <w:spacing w:before="40" w:line="240" w:lineRule="auto"/>
        <w:rPr>
          <w:rFonts w:ascii="Arial" w:hAnsi="Arial" w:eastAsia="Arial" w:cs="Arial"/>
          <w:szCs w:val="24"/>
        </w:rPr>
      </w:pPr>
      <w:r>
        <w:rPr>
          <w:rFonts w:ascii="Arial" w:hAnsi="Arial" w:eastAsia="Arial" w:cs="Arial"/>
        </w:rPr>
        <w:t xml:space="preserve">By providing </w:t>
      </w:r>
      <w:r>
        <w:rPr>
          <w:rFonts w:ascii="Arial" w:hAnsi="Arial" w:eastAsia="Arial" w:cs="Arial"/>
          <w:b/>
        </w:rPr>
        <w:t xml:space="preserve">clear cost-benefit insights, </w:t>
      </w:r>
      <w:r>
        <w:rPr>
          <w:rFonts w:ascii="Arial" w:hAnsi="Arial" w:eastAsia="Arial" w:cs="Arial"/>
        </w:rPr>
        <w:t>Providing clear cost-benefit insights will encourage consumers to choose fuel-efficient vehicles, contributing to a greener future.</w:t>
      </w:r>
    </w:p>
    <w:p w14:paraId="1C8F4420">
      <w:pPr>
        <w:rPr>
          <w:rFonts w:ascii="Arial" w:hAnsi="Arial" w:eastAsia="Arial" w:cs="Arial"/>
          <w:color w:val="000000" w:themeColor="text1"/>
          <w14:textFill>
            <w14:solidFill>
              <w14:schemeClr w14:val="tx1"/>
            </w14:solidFill>
          </w14:textFill>
        </w:rPr>
      </w:pPr>
    </w:p>
    <w:tbl>
      <w:tblPr>
        <w:tblStyle w:val="7"/>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6"/>
      </w:tblGrid>
      <w:tr w14:paraId="33DD2B6D">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0800" w:type="dxa"/>
          </w:tcPr>
          <w:p w14:paraId="32DF195F">
            <w:pPr>
              <w:pStyle w:val="2"/>
              <w:numPr>
                <w:ilvl w:val="0"/>
                <w:numId w:val="8"/>
              </w:numPr>
              <w:ind w:hanging="833"/>
            </w:pPr>
            <w:bookmarkStart w:id="3" w:name="_Toc233568995"/>
            <w:r>
              <w:t>Course RELEVANCE</w:t>
            </w:r>
            <w:bookmarkEnd w:id="3"/>
          </w:p>
        </w:tc>
      </w:tr>
    </w:tbl>
    <w:p w14:paraId="72B66B62">
      <w:pPr>
        <w:spacing w:before="0" w:after="160" w:line="257" w:lineRule="auto"/>
        <w:rPr>
          <w:rFonts w:ascii="Arial" w:hAnsi="Arial" w:eastAsia="Arial" w:cs="Arial"/>
          <w:color w:val="000000" w:themeColor="text1"/>
          <w:szCs w:val="24"/>
          <w14:textFill>
            <w14:solidFill>
              <w14:schemeClr w14:val="tx1"/>
            </w14:solidFill>
          </w14:textFill>
        </w:rPr>
      </w:pPr>
    </w:p>
    <w:p w14:paraId="0C85AF9F">
      <w:pPr>
        <w:spacing w:before="0" w:after="160" w:line="257" w:lineRule="auto"/>
        <w:rPr>
          <w:rFonts w:ascii="Arial" w:hAnsi="Arial" w:eastAsia="Arial" w:cs="Arial"/>
          <w:color w:val="000000" w:themeColor="text1"/>
          <w:szCs w:val="24"/>
          <w:lang w:val="en-IN"/>
          <w14:textFill>
            <w14:solidFill>
              <w14:schemeClr w14:val="tx1"/>
            </w14:solidFill>
          </w14:textFill>
        </w:rPr>
      </w:pPr>
      <w:r>
        <w:rPr>
          <w:rFonts w:ascii="Arial" w:hAnsi="Arial" w:eastAsia="Arial" w:cs="Arial"/>
          <w:color w:val="000000" w:themeColor="text1"/>
          <w:szCs w:val="24"/>
          <w:lang w:val="en-IN"/>
          <w14:textFill>
            <w14:solidFill>
              <w14:schemeClr w14:val="tx1"/>
            </w14:solidFill>
          </w14:textFill>
        </w:rPr>
        <w:t>This project aligns with multiple courses we’ve taken, including:</w:t>
      </w:r>
    </w:p>
    <w:p w14:paraId="7FAF0BA0">
      <w:pPr>
        <w:numPr>
          <w:ilvl w:val="0"/>
          <w:numId w:val="10"/>
        </w:numPr>
        <w:spacing w:before="0" w:after="160" w:line="257" w:lineRule="auto"/>
        <w:rPr>
          <w:rFonts w:ascii="Arial" w:hAnsi="Arial" w:eastAsia="Arial" w:cs="Arial"/>
          <w:color w:val="000000" w:themeColor="text1"/>
          <w:szCs w:val="24"/>
          <w:lang w:val="en-IN"/>
          <w14:textFill>
            <w14:solidFill>
              <w14:schemeClr w14:val="tx1"/>
            </w14:solidFill>
          </w14:textFill>
        </w:rPr>
      </w:pPr>
      <w:r>
        <w:rPr>
          <w:rFonts w:ascii="Arial" w:hAnsi="Arial" w:eastAsia="Arial" w:cs="Arial"/>
          <w:b/>
          <w:bCs/>
          <w:color w:val="000000" w:themeColor="text1"/>
          <w:szCs w:val="24"/>
          <w:lang w:val="en-IN"/>
          <w14:textFill>
            <w14:solidFill>
              <w14:schemeClr w14:val="tx1"/>
            </w14:solidFill>
          </w14:textFill>
        </w:rPr>
        <w:t>DATA 1200: Introduction to Data Analytics</w:t>
      </w:r>
      <w:r>
        <w:rPr>
          <w:rFonts w:ascii="Arial" w:hAnsi="Arial" w:eastAsia="Arial" w:cs="Arial"/>
          <w:color w:val="000000" w:themeColor="text1"/>
          <w:szCs w:val="24"/>
          <w:lang w:val="en-IN"/>
          <w14:textFill>
            <w14:solidFill>
              <w14:schemeClr w14:val="tx1"/>
            </w14:solidFill>
          </w14:textFill>
        </w:rPr>
        <w:t xml:space="preserve"> (for the development of the model, analyzing the model, and its evaluation using metrics like RMSE, R², and MSE).</w:t>
      </w:r>
    </w:p>
    <w:p w14:paraId="795DF80A">
      <w:pPr>
        <w:numPr>
          <w:ilvl w:val="0"/>
          <w:numId w:val="10"/>
        </w:numPr>
        <w:spacing w:before="0" w:after="160" w:line="257" w:lineRule="auto"/>
        <w:rPr>
          <w:rFonts w:ascii="Arial" w:hAnsi="Arial" w:eastAsia="Arial" w:cs="Arial"/>
          <w:color w:val="000000" w:themeColor="text1"/>
          <w:szCs w:val="24"/>
          <w:lang w:val="en-IN"/>
          <w14:textFill>
            <w14:solidFill>
              <w14:schemeClr w14:val="tx1"/>
            </w14:solidFill>
          </w14:textFill>
        </w:rPr>
      </w:pPr>
      <w:r>
        <w:rPr>
          <w:rFonts w:ascii="Arial" w:hAnsi="Arial" w:eastAsia="Arial" w:cs="Arial"/>
          <w:b/>
          <w:bCs/>
          <w:color w:val="000000" w:themeColor="text1"/>
          <w:szCs w:val="24"/>
          <w:lang w:val="en-IN"/>
          <w14:textFill>
            <w14:solidFill>
              <w14:schemeClr w14:val="tx1"/>
            </w14:solidFill>
          </w14:textFill>
        </w:rPr>
        <w:t>DATA 1201: Data Collection</w:t>
      </w:r>
      <w:r>
        <w:rPr>
          <w:rFonts w:ascii="Arial" w:hAnsi="Arial" w:eastAsia="Arial" w:cs="Arial"/>
          <w:color w:val="000000" w:themeColor="text1"/>
          <w:szCs w:val="24"/>
          <w:lang w:val="en-IN"/>
          <w14:textFill>
            <w14:solidFill>
              <w14:schemeClr w14:val="tx1"/>
            </w14:solidFill>
          </w14:textFill>
        </w:rPr>
        <w:t xml:space="preserve"> (for cleaning and pre-processing the selected dataset before analysis and implementation).</w:t>
      </w:r>
    </w:p>
    <w:p w14:paraId="021314C1">
      <w:pPr>
        <w:numPr>
          <w:ilvl w:val="0"/>
          <w:numId w:val="10"/>
        </w:numPr>
        <w:spacing w:before="0" w:after="160" w:line="257" w:lineRule="auto"/>
        <w:rPr>
          <w:rFonts w:ascii="Arial" w:hAnsi="Arial" w:eastAsia="Arial" w:cs="Arial"/>
          <w:color w:val="000000" w:themeColor="text1" w:themeTint="FF"/>
          <w:lang w:val="en-IN"/>
          <w14:textFill>
            <w14:solidFill>
              <w14:schemeClr w14:val="tx1">
                <w14:lumMod w14:val="100000"/>
                <w14:lumOff w14:val="0"/>
              </w14:schemeClr>
            </w14:solidFill>
          </w14:textFill>
        </w:rPr>
      </w:pPr>
      <w:r>
        <w:rPr>
          <w:rFonts w:ascii="Arial" w:hAnsi="Arial" w:eastAsia="Arial" w:cs="Arial"/>
          <w:b/>
          <w:bCs/>
          <w:color w:val="000000" w:themeColor="text1" w:themeTint="FF"/>
          <w:lang w:val="en-IN"/>
          <w14:textFill>
            <w14:solidFill>
              <w14:schemeClr w14:val="tx1">
                <w14:lumMod w14:val="100000"/>
                <w14:lumOff w14:val="0"/>
              </w14:schemeClr>
            </w14:solidFill>
          </w14:textFill>
        </w:rPr>
        <w:t>DATA 1204: Statistics I</w:t>
      </w:r>
      <w:r>
        <w:rPr>
          <w:rFonts w:ascii="Arial" w:hAnsi="Arial" w:eastAsia="Arial" w:cs="Arial"/>
          <w:color w:val="000000" w:themeColor="text1" w:themeTint="FF"/>
          <w:lang w:val="en-IN"/>
          <w14:textFill>
            <w14:solidFill>
              <w14:schemeClr w14:val="tx1">
                <w14:lumMod w14:val="100000"/>
                <w14:lumOff w14:val="0"/>
              </w14:schemeClr>
            </w14:solidFill>
          </w14:textFill>
        </w:rPr>
        <w:t xml:space="preserve"> (to ensure the statistical significance of the model’s results and conduct exploratory data analysis).</w:t>
      </w:r>
    </w:p>
    <w:p w14:paraId="4AEB2A50">
      <w:pPr>
        <w:numPr>
          <w:ilvl w:val="0"/>
          <w:numId w:val="10"/>
        </w:numPr>
        <w:spacing w:before="0" w:after="160" w:line="257" w:lineRule="auto"/>
        <w:rPr>
          <w:rFonts w:ascii="Arial" w:hAnsi="Arial" w:eastAsia="Arial" w:cs="Arial"/>
          <w:color w:val="000000" w:themeColor="text1"/>
          <w:szCs w:val="24"/>
          <w:lang w:val="en-IN"/>
          <w14:textFill>
            <w14:solidFill>
              <w14:schemeClr w14:val="tx1"/>
            </w14:solidFill>
          </w14:textFill>
        </w:rPr>
      </w:pPr>
      <w:r>
        <w:rPr>
          <w:rFonts w:ascii="Arial" w:hAnsi="Arial" w:eastAsia="Arial" w:cs="Arial"/>
          <w:b/>
          <w:bCs/>
          <w:color w:val="000000" w:themeColor="text1"/>
          <w:szCs w:val="24"/>
          <w:lang w:val="en-IN"/>
          <w14:textFill>
            <w14:solidFill>
              <w14:schemeClr w14:val="tx1"/>
            </w14:solidFill>
          </w14:textFill>
        </w:rPr>
        <w:t>DATA 2204: Statistics II</w:t>
      </w:r>
      <w:r>
        <w:rPr>
          <w:rFonts w:ascii="Arial" w:hAnsi="Arial" w:eastAsia="Arial" w:cs="Arial"/>
          <w:color w:val="000000" w:themeColor="text1"/>
          <w:szCs w:val="24"/>
          <w:lang w:val="en-IN"/>
          <w14:textFill>
            <w14:solidFill>
              <w14:schemeClr w14:val="tx1"/>
            </w14:solidFill>
          </w14:textFill>
        </w:rPr>
        <w:t xml:space="preserve"> (for developing algorithms for evaluation, analyzing vehicle efficiency trends, and performing feature selection and one-hot encoding).</w:t>
      </w:r>
    </w:p>
    <w:p w14:paraId="3AC328B6">
      <w:pPr>
        <w:numPr>
          <w:ilvl w:val="0"/>
          <w:numId w:val="10"/>
        </w:numPr>
        <w:spacing w:before="0" w:after="160" w:line="257" w:lineRule="auto"/>
        <w:rPr>
          <w:rFonts w:ascii="Arial" w:hAnsi="Arial" w:eastAsia="Arial" w:cs="Arial"/>
          <w:color w:val="000000" w:themeColor="text1"/>
          <w:szCs w:val="24"/>
          <w:lang w:val="en-IN"/>
          <w14:textFill>
            <w14:solidFill>
              <w14:schemeClr w14:val="tx1"/>
            </w14:solidFill>
          </w14:textFill>
        </w:rPr>
      </w:pPr>
      <w:r>
        <w:rPr>
          <w:rFonts w:ascii="Arial" w:hAnsi="Arial" w:eastAsia="Arial" w:cs="Arial"/>
          <w:b/>
          <w:bCs/>
          <w:color w:val="000000" w:themeColor="text1"/>
          <w:szCs w:val="24"/>
          <w:lang w:val="en-IN"/>
          <w14:textFill>
            <w14:solidFill>
              <w14:schemeClr w14:val="tx1"/>
            </w14:solidFill>
          </w14:textFill>
        </w:rPr>
        <w:t>DATA 2205: Visualizations, Leadership</w:t>
      </w:r>
      <w:r>
        <w:rPr>
          <w:rFonts w:ascii="Arial" w:hAnsi="Arial" w:eastAsia="Arial" w:cs="Arial"/>
          <w:color w:val="000000" w:themeColor="text1"/>
          <w:szCs w:val="24"/>
          <w:lang w:val="en-IN"/>
          <w14:textFill>
            <w14:solidFill>
              <w14:schemeClr w14:val="tx1"/>
            </w14:solidFill>
          </w14:textFill>
        </w:rPr>
        <w:t xml:space="preserve"> (for the implementation of an interactive</w:t>
      </w:r>
      <w:r>
        <w:rPr>
          <w:rFonts w:ascii="Arial" w:hAnsi="Arial" w:eastAsia="Arial" w:cs="Arial"/>
          <w:b/>
          <w:bCs/>
          <w:color w:val="000000" w:themeColor="text1"/>
          <w:szCs w:val="24"/>
          <w:lang w:val="en-IN"/>
          <w14:textFill>
            <w14:solidFill>
              <w14:schemeClr w14:val="tx1"/>
            </w14:solidFill>
          </w14:textFill>
        </w:rPr>
        <w:t xml:space="preserve"> </w:t>
      </w:r>
      <w:r>
        <w:rPr>
          <w:rFonts w:ascii="Arial" w:hAnsi="Arial" w:eastAsia="Arial" w:cs="Arial"/>
          <w:color w:val="000000" w:themeColor="text1"/>
          <w:szCs w:val="24"/>
          <w:lang w:val="en-IN"/>
          <w14:textFill>
            <w14:solidFill>
              <w14:schemeClr w14:val="tx1"/>
            </w14:solidFill>
          </w14:textFill>
        </w:rPr>
        <w:t>dashboard showcasing vehicle fuel efficiency, CO</w:t>
      </w:r>
      <w:r>
        <w:rPr>
          <w:rFonts w:ascii="Cambria Math" w:hAnsi="Cambria Math" w:eastAsia="Arial" w:cs="Cambria Math"/>
          <w:color w:val="000000" w:themeColor="text1"/>
          <w:szCs w:val="24"/>
          <w:lang w:val="en-IN"/>
          <w14:textFill>
            <w14:solidFill>
              <w14:schemeClr w14:val="tx1"/>
            </w14:solidFill>
          </w14:textFill>
        </w:rPr>
        <w:t>₂</w:t>
      </w:r>
      <w:r>
        <w:rPr>
          <w:rFonts w:ascii="Arial" w:hAnsi="Arial" w:eastAsia="Arial" w:cs="Arial"/>
          <w:color w:val="000000" w:themeColor="text1"/>
          <w:szCs w:val="24"/>
          <w:lang w:val="en-IN"/>
          <w14:textFill>
            <w14:solidFill>
              <w14:schemeClr w14:val="tx1"/>
            </w14:solidFill>
          </w14:textFill>
        </w:rPr>
        <w:t xml:space="preserve"> emissions, and carbon tax impact).</w:t>
      </w:r>
    </w:p>
    <w:p w14:paraId="6A5C55DF">
      <w:pPr>
        <w:spacing w:before="0" w:after="160" w:line="257" w:lineRule="auto"/>
        <w:rPr>
          <w:rFonts w:ascii="Arial" w:hAnsi="Arial" w:eastAsia="Arial" w:cs="Arial"/>
          <w:color w:val="000000" w:themeColor="text1" w:themeTint="FF"/>
          <w:lang w:val="en-IN"/>
          <w14:textFill>
            <w14:solidFill>
              <w14:schemeClr w14:val="tx1">
                <w14:lumMod w14:val="100000"/>
                <w14:lumOff w14:val="0"/>
              </w14:schemeClr>
            </w14:solidFill>
          </w14:textFill>
        </w:rPr>
        <w:sectPr>
          <w:headerReference r:id="rId5" w:type="default"/>
          <w:footerReference r:id="rId6" w:type="default"/>
          <w:pgSz w:w="12240" w:h="15840"/>
          <w:pgMar w:top="2160" w:right="720" w:bottom="360" w:left="720" w:header="576" w:footer="432" w:gutter="0"/>
          <w:cols w:space="708" w:num="1"/>
          <w:docGrid w:linePitch="360" w:charSpace="0"/>
        </w:sectPr>
      </w:pPr>
      <w:r>
        <w:rPr>
          <w:rFonts w:ascii="Arial" w:hAnsi="Arial" w:eastAsia="Arial" w:cs="Arial"/>
          <w:color w:val="000000" w:themeColor="text1" w:themeTint="FF"/>
          <w:lang w:val="en-IN"/>
          <w14:textFill>
            <w14:solidFill>
              <w14:schemeClr w14:val="tx1">
                <w14:lumMod w14:val="100000"/>
                <w14:lumOff w14:val="0"/>
              </w14:schemeClr>
            </w14:solidFill>
          </w14:textFill>
        </w:rPr>
        <w:t>We will apply tools and techniques such as Python for model implementation using scikit-learn, regression analysis, feature engineering, and data visualization techniques to derive insights for consumers, policymakers, and manufacturers.</w:t>
      </w:r>
    </w:p>
    <w:tbl>
      <w:tblPr>
        <w:tblStyle w:val="7"/>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89"/>
      </w:tblGrid>
      <w:tr w14:paraId="012E9B75">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0800" w:type="dxa"/>
          </w:tcPr>
          <w:p w14:paraId="5585983F">
            <w:pPr>
              <w:pStyle w:val="2"/>
              <w:numPr>
                <w:ilvl w:val="0"/>
                <w:numId w:val="8"/>
              </w:numPr>
              <w:ind w:hanging="833"/>
            </w:pPr>
            <w:bookmarkStart w:id="4" w:name="_Toc1080677264"/>
            <w:r>
              <w:t>ASSUMPTIONS</w:t>
            </w:r>
            <w:bookmarkEnd w:id="4"/>
          </w:p>
        </w:tc>
      </w:tr>
    </w:tbl>
    <w:p w14:paraId="77E286E2"/>
    <w:p w14:paraId="397C1B3A">
      <w:pPr>
        <w:numPr>
          <w:ilvl w:val="0"/>
          <w:numId w:val="11"/>
        </w:numPr>
        <w:spacing w:before="0" w:after="160" w:line="259" w:lineRule="auto"/>
        <w:jc w:val="both"/>
        <w:rPr>
          <w:color w:val="auto"/>
          <w:szCs w:val="24"/>
        </w:rPr>
      </w:pPr>
      <w:r>
        <w:rPr>
          <w:b/>
          <w:color w:val="auto"/>
          <w:szCs w:val="24"/>
        </w:rPr>
        <w:t>Data Accuracy:</w:t>
      </w:r>
      <w:r>
        <w:rPr>
          <w:color w:val="auto"/>
          <w:szCs w:val="24"/>
        </w:rPr>
        <w:t xml:space="preserve"> The dataset offers precise and trustworthy statistics on fuel usage and vehicle emissions from 2015 to 2025. We can rely on its accuracy because information originates from the open database of the Government of Canada. This guarantees that the models and suggestions we provide are grounded on actual data, which makes them trustworthy and pertinent.</w:t>
      </w:r>
    </w:p>
    <w:p w14:paraId="692D545D">
      <w:pPr>
        <w:numPr>
          <w:ilvl w:val="0"/>
          <w:numId w:val="11"/>
        </w:numPr>
        <w:spacing w:before="0" w:after="160" w:line="259" w:lineRule="auto"/>
        <w:jc w:val="both"/>
        <w:rPr>
          <w:color w:val="auto"/>
          <w:szCs w:val="24"/>
        </w:rPr>
      </w:pPr>
      <w:r>
        <w:rPr>
          <w:b/>
          <w:color w:val="auto"/>
          <w:szCs w:val="24"/>
        </w:rPr>
        <w:t>Stable Regulatory Policies:</w:t>
      </w:r>
      <w:r>
        <w:rPr>
          <w:color w:val="auto"/>
          <w:szCs w:val="24"/>
        </w:rPr>
        <w:t xml:space="preserve"> To guarantee precise tax estimates, current and anticipated carbon tax rates and emission rules stay constant throughout the project's duration.</w:t>
      </w:r>
    </w:p>
    <w:p w14:paraId="0B0A5AE4">
      <w:pPr>
        <w:numPr>
          <w:ilvl w:val="0"/>
          <w:numId w:val="11"/>
        </w:numPr>
        <w:spacing w:before="0" w:after="160" w:line="259" w:lineRule="auto"/>
        <w:jc w:val="both"/>
        <w:rPr>
          <w:color w:val="auto"/>
        </w:rPr>
      </w:pPr>
      <w:r>
        <w:rPr>
          <w:b/>
          <w:bCs/>
          <w:color w:val="auto"/>
        </w:rPr>
        <w:t>Consistency in Consumer Behavior</w:t>
      </w:r>
      <w:r>
        <w:rPr>
          <w:color w:val="auto"/>
        </w:rPr>
        <w:t>: Throughout the study period, we assumed that trends in fuel consumption, driving behaviors, and car purchase patterns are constant.</w:t>
      </w:r>
    </w:p>
    <w:p w14:paraId="274D8DE8">
      <w:pPr>
        <w:numPr>
          <w:ilvl w:val="0"/>
          <w:numId w:val="11"/>
        </w:numPr>
        <w:spacing w:before="0" w:after="160" w:line="259" w:lineRule="auto"/>
        <w:jc w:val="both"/>
        <w:rPr>
          <w:color w:val="auto"/>
          <w:szCs w:val="24"/>
        </w:rPr>
      </w:pPr>
      <w:r>
        <w:rPr>
          <w:b/>
          <w:color w:val="auto"/>
          <w:szCs w:val="24"/>
        </w:rPr>
        <w:t>Standardized Driving Distances:</w:t>
      </w:r>
      <w:r>
        <w:rPr>
          <w:color w:val="auto"/>
          <w:szCs w:val="24"/>
        </w:rPr>
        <w:t xml:space="preserve"> The annual distance traveled used to calculate the carbon tax is the same for all cars to provide fair comparisons. All the annual computations will be predicted on the premise that the average annual driving distance is 20,000 kilometers.</w:t>
      </w:r>
    </w:p>
    <w:p w14:paraId="777F0E2A">
      <w:pPr>
        <w:numPr>
          <w:ilvl w:val="0"/>
          <w:numId w:val="11"/>
        </w:numPr>
        <w:spacing w:before="0" w:after="160" w:line="259" w:lineRule="auto"/>
        <w:jc w:val="both"/>
        <w:rPr>
          <w:color w:val="auto"/>
          <w:szCs w:val="24"/>
        </w:rPr>
      </w:pPr>
      <w:r>
        <w:rPr>
          <w:b/>
          <w:color w:val="auto"/>
          <w:szCs w:val="24"/>
        </w:rPr>
        <w:t>Data Privacy and Compliance:</w:t>
      </w:r>
      <w:r>
        <w:rPr>
          <w:color w:val="auto"/>
          <w:szCs w:val="24"/>
        </w:rPr>
        <w:t xml:space="preserve"> The dataset complies with ethical and regulatory requirements for privacy and data use. It is made publicly available via a government-run website, guaranteeing that it is usable by the public and conforms with all applicable data protection laws.</w:t>
      </w:r>
    </w:p>
    <w:p w14:paraId="6549D625">
      <w:pPr>
        <w:numPr>
          <w:ilvl w:val="0"/>
          <w:numId w:val="11"/>
        </w:numPr>
        <w:spacing w:before="0" w:after="160" w:line="259" w:lineRule="auto"/>
        <w:jc w:val="both"/>
        <w:rPr>
          <w:color w:val="auto"/>
          <w:szCs w:val="24"/>
        </w:rPr>
      </w:pPr>
      <w:r>
        <w:rPr>
          <w:b/>
          <w:color w:val="auto"/>
          <w:szCs w:val="24"/>
        </w:rPr>
        <w:t>Cost of Fuel:</w:t>
      </w:r>
      <w:r>
        <w:rPr>
          <w:color w:val="auto"/>
          <w:szCs w:val="24"/>
        </w:rPr>
        <w:t xml:space="preserve"> We are assuming that fuel prices will remain constant throughout the project analysis. As of February 3, 2025, according to Ontario.ca, the fuel prices in Canada are as follows (prices in cents per liter):</w:t>
      </w:r>
    </w:p>
    <w:p w14:paraId="5306A2DD">
      <w:pPr>
        <w:spacing w:before="0" w:after="160" w:line="259" w:lineRule="auto"/>
        <w:ind w:left="720"/>
        <w:jc w:val="both"/>
        <w:rPr>
          <w:color w:val="auto"/>
          <w:szCs w:val="24"/>
        </w:rPr>
      </w:pPr>
    </w:p>
    <w:tbl>
      <w:tblPr>
        <w:tblStyle w:val="62"/>
        <w:tblW w:w="8508" w:type="dxa"/>
        <w:jc w:val="center"/>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Layout w:type="autofit"/>
        <w:tblCellMar>
          <w:top w:w="0" w:type="dxa"/>
          <w:left w:w="108" w:type="dxa"/>
          <w:bottom w:w="0" w:type="dxa"/>
          <w:right w:w="108" w:type="dxa"/>
        </w:tblCellMar>
      </w:tblPr>
      <w:tblGrid>
        <w:gridCol w:w="2836"/>
        <w:gridCol w:w="2836"/>
        <w:gridCol w:w="2836"/>
      </w:tblGrid>
      <w:tr w14:paraId="0C5F7837">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401" w:hRule="atLeast"/>
          <w:jc w:val="center"/>
        </w:trPr>
        <w:tc>
          <w:tcPr>
            <w:tcW w:w="2836" w:type="dxa"/>
            <w:tcBorders>
              <w:top w:val="single" w:color="F0CDA1" w:themeColor="accent1" w:sz="4" w:space="0"/>
              <w:left w:val="single" w:color="F0CDA1" w:themeColor="accent1" w:sz="4" w:space="0"/>
              <w:bottom w:val="single" w:color="F0CDA1" w:themeColor="accent1" w:sz="4" w:space="0"/>
              <w:right w:val="nil"/>
              <w:insideH w:val="single" w:sz="4" w:space="0"/>
              <w:insideV w:val="nil"/>
            </w:tcBorders>
            <w:shd w:val="clear" w:color="auto" w:fill="F0CDA1" w:themeFill="accent1"/>
          </w:tcPr>
          <w:p w14:paraId="5CA9339D">
            <w:pPr>
              <w:jc w:val="both"/>
              <w:rPr>
                <w:b/>
                <w:bCs/>
                <w:color w:val="auto"/>
                <w:szCs w:val="24"/>
              </w:rPr>
            </w:pPr>
            <w:r>
              <w:rPr>
                <w:b/>
                <w:bCs/>
                <w:color w:val="auto"/>
                <w:szCs w:val="24"/>
              </w:rPr>
              <w:t>Fuel Type</w:t>
            </w:r>
          </w:p>
        </w:tc>
        <w:tc>
          <w:tcPr>
            <w:tcW w:w="2836" w:type="dxa"/>
            <w:tcBorders>
              <w:top w:val="single" w:color="F0CDA1" w:themeColor="accent1" w:sz="4" w:space="0"/>
              <w:bottom w:val="single" w:color="F0CDA1" w:themeColor="accent1" w:sz="4" w:space="0"/>
              <w:right w:val="nil"/>
              <w:insideH w:val="single" w:sz="4" w:space="0"/>
              <w:insideV w:val="nil"/>
            </w:tcBorders>
            <w:shd w:val="clear" w:color="auto" w:fill="F0CDA1" w:themeFill="accent1"/>
          </w:tcPr>
          <w:p w14:paraId="622DF6A2">
            <w:pPr>
              <w:jc w:val="both"/>
              <w:rPr>
                <w:b/>
                <w:bCs/>
                <w:color w:val="auto"/>
                <w:szCs w:val="24"/>
              </w:rPr>
            </w:pPr>
            <w:r>
              <w:rPr>
                <w:b/>
                <w:bCs/>
                <w:color w:val="auto"/>
                <w:szCs w:val="24"/>
              </w:rPr>
              <w:t>Code</w:t>
            </w:r>
          </w:p>
        </w:tc>
        <w:tc>
          <w:tcPr>
            <w:tcW w:w="2836" w:type="dxa"/>
            <w:tcBorders>
              <w:top w:val="single" w:color="F0CDA1" w:themeColor="accent1" w:sz="4" w:space="0"/>
              <w:bottom w:val="single" w:color="F0CDA1" w:themeColor="accent1" w:sz="4" w:space="0"/>
              <w:right w:val="single" w:color="F0CDA1" w:themeColor="accent1" w:sz="4" w:space="0"/>
              <w:insideH w:val="single" w:sz="4" w:space="0"/>
              <w:insideV w:val="nil"/>
            </w:tcBorders>
            <w:shd w:val="clear" w:color="auto" w:fill="F0CDA1" w:themeFill="accent1"/>
          </w:tcPr>
          <w:p w14:paraId="185B9493">
            <w:pPr>
              <w:jc w:val="both"/>
              <w:rPr>
                <w:b/>
                <w:bCs/>
                <w:color w:val="auto"/>
                <w:szCs w:val="24"/>
              </w:rPr>
            </w:pPr>
            <w:r>
              <w:rPr>
                <w:b/>
                <w:bCs/>
                <w:color w:val="auto"/>
                <w:szCs w:val="24"/>
              </w:rPr>
              <w:t>Ontario (¢/L)</w:t>
            </w:r>
          </w:p>
        </w:tc>
      </w:tr>
      <w:tr w14:paraId="3D0C8B8D">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401" w:hRule="atLeast"/>
          <w:jc w:val="center"/>
        </w:trPr>
        <w:tc>
          <w:tcPr>
            <w:tcW w:w="2836" w:type="dxa"/>
            <w:shd w:val="clear" w:color="auto" w:fill="FBF4EC" w:themeFill="accent1" w:themeFillTint="33"/>
          </w:tcPr>
          <w:p w14:paraId="45937AEC">
            <w:pPr>
              <w:jc w:val="both"/>
              <w:rPr>
                <w:b/>
                <w:bCs/>
                <w:color w:val="auto"/>
                <w:szCs w:val="24"/>
              </w:rPr>
            </w:pPr>
            <w:r>
              <w:rPr>
                <w:b/>
                <w:bCs/>
                <w:color w:val="auto"/>
                <w:szCs w:val="24"/>
              </w:rPr>
              <w:t>Diesel</w:t>
            </w:r>
          </w:p>
        </w:tc>
        <w:tc>
          <w:tcPr>
            <w:tcW w:w="2836" w:type="dxa"/>
            <w:shd w:val="clear" w:color="auto" w:fill="FBF4EC" w:themeFill="accent1" w:themeFillTint="33"/>
          </w:tcPr>
          <w:p w14:paraId="45DF7844">
            <w:pPr>
              <w:jc w:val="both"/>
              <w:rPr>
                <w:color w:val="auto"/>
                <w:szCs w:val="24"/>
              </w:rPr>
            </w:pPr>
            <w:r>
              <w:rPr>
                <w:color w:val="auto"/>
                <w:szCs w:val="24"/>
              </w:rPr>
              <w:t>D</w:t>
            </w:r>
          </w:p>
        </w:tc>
        <w:tc>
          <w:tcPr>
            <w:tcW w:w="2836" w:type="dxa"/>
            <w:shd w:val="clear" w:color="auto" w:fill="FBF4EC" w:themeFill="accent1" w:themeFillTint="33"/>
          </w:tcPr>
          <w:p w14:paraId="29159BF3">
            <w:pPr>
              <w:jc w:val="both"/>
              <w:rPr>
                <w:color w:val="auto"/>
                <w:szCs w:val="24"/>
              </w:rPr>
            </w:pPr>
            <w:r>
              <w:rPr>
                <w:color w:val="auto"/>
                <w:szCs w:val="24"/>
              </w:rPr>
              <w:t>170.2</w:t>
            </w:r>
          </w:p>
        </w:tc>
      </w:tr>
      <w:tr w14:paraId="2C1483EC">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91" w:hRule="atLeast"/>
          <w:jc w:val="center"/>
        </w:trPr>
        <w:tc>
          <w:tcPr>
            <w:tcW w:w="2836" w:type="dxa"/>
          </w:tcPr>
          <w:p w14:paraId="255264A2">
            <w:pPr>
              <w:jc w:val="both"/>
              <w:rPr>
                <w:b/>
                <w:bCs/>
                <w:color w:val="auto"/>
                <w:szCs w:val="24"/>
              </w:rPr>
            </w:pPr>
            <w:r>
              <w:rPr>
                <w:b/>
                <w:bCs/>
                <w:color w:val="auto"/>
                <w:szCs w:val="24"/>
              </w:rPr>
              <w:t>E85</w:t>
            </w:r>
          </w:p>
        </w:tc>
        <w:tc>
          <w:tcPr>
            <w:tcW w:w="2836" w:type="dxa"/>
          </w:tcPr>
          <w:p w14:paraId="64EB6E78">
            <w:pPr>
              <w:jc w:val="both"/>
              <w:rPr>
                <w:color w:val="auto"/>
                <w:szCs w:val="24"/>
              </w:rPr>
            </w:pPr>
            <w:r>
              <w:rPr>
                <w:color w:val="auto"/>
                <w:szCs w:val="24"/>
              </w:rPr>
              <w:t>E</w:t>
            </w:r>
          </w:p>
        </w:tc>
        <w:tc>
          <w:tcPr>
            <w:tcW w:w="2836" w:type="dxa"/>
          </w:tcPr>
          <w:p w14:paraId="36F9E6B5">
            <w:pPr>
              <w:jc w:val="both"/>
              <w:rPr>
                <w:color w:val="auto"/>
                <w:szCs w:val="24"/>
              </w:rPr>
            </w:pPr>
            <w:r>
              <w:rPr>
                <w:color w:val="auto"/>
                <w:szCs w:val="24"/>
              </w:rPr>
              <w:t>160.1</w:t>
            </w:r>
          </w:p>
        </w:tc>
      </w:tr>
      <w:tr w14:paraId="19DBF0B7">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401" w:hRule="atLeast"/>
          <w:jc w:val="center"/>
        </w:trPr>
        <w:tc>
          <w:tcPr>
            <w:tcW w:w="2836" w:type="dxa"/>
            <w:shd w:val="clear" w:color="auto" w:fill="FBF4EC" w:themeFill="accent1" w:themeFillTint="33"/>
          </w:tcPr>
          <w:p w14:paraId="2A15CA3B">
            <w:pPr>
              <w:jc w:val="both"/>
              <w:rPr>
                <w:b/>
                <w:bCs/>
                <w:color w:val="auto"/>
                <w:szCs w:val="24"/>
              </w:rPr>
            </w:pPr>
            <w:r>
              <w:rPr>
                <w:b/>
                <w:bCs/>
                <w:color w:val="auto"/>
                <w:szCs w:val="24"/>
              </w:rPr>
              <w:t>Regular Gasoline</w:t>
            </w:r>
          </w:p>
        </w:tc>
        <w:tc>
          <w:tcPr>
            <w:tcW w:w="2836" w:type="dxa"/>
            <w:shd w:val="clear" w:color="auto" w:fill="FBF4EC" w:themeFill="accent1" w:themeFillTint="33"/>
          </w:tcPr>
          <w:p w14:paraId="20FBF694">
            <w:pPr>
              <w:jc w:val="both"/>
              <w:rPr>
                <w:color w:val="auto"/>
                <w:szCs w:val="24"/>
              </w:rPr>
            </w:pPr>
            <w:r>
              <w:rPr>
                <w:color w:val="auto"/>
                <w:szCs w:val="24"/>
              </w:rPr>
              <w:t>X</w:t>
            </w:r>
          </w:p>
        </w:tc>
        <w:tc>
          <w:tcPr>
            <w:tcW w:w="2836" w:type="dxa"/>
            <w:shd w:val="clear" w:color="auto" w:fill="FBF4EC" w:themeFill="accent1" w:themeFillTint="33"/>
          </w:tcPr>
          <w:p w14:paraId="7D2F47A1">
            <w:pPr>
              <w:jc w:val="both"/>
              <w:rPr>
                <w:color w:val="auto"/>
                <w:szCs w:val="24"/>
              </w:rPr>
            </w:pPr>
            <w:r>
              <w:rPr>
                <w:color w:val="auto"/>
                <w:szCs w:val="24"/>
              </w:rPr>
              <w:t>154.9</w:t>
            </w:r>
          </w:p>
        </w:tc>
      </w:tr>
      <w:tr w14:paraId="6204EF54">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633" w:hRule="atLeast"/>
          <w:jc w:val="center"/>
        </w:trPr>
        <w:tc>
          <w:tcPr>
            <w:tcW w:w="2836" w:type="dxa"/>
          </w:tcPr>
          <w:p w14:paraId="25AE4E76">
            <w:pPr>
              <w:jc w:val="both"/>
              <w:rPr>
                <w:b/>
                <w:bCs/>
                <w:color w:val="auto"/>
                <w:szCs w:val="24"/>
              </w:rPr>
            </w:pPr>
            <w:r>
              <w:rPr>
                <w:b/>
                <w:bCs/>
                <w:color w:val="auto"/>
                <w:szCs w:val="24"/>
              </w:rPr>
              <w:t>Premium Gasoline</w:t>
            </w:r>
          </w:p>
        </w:tc>
        <w:tc>
          <w:tcPr>
            <w:tcW w:w="2836" w:type="dxa"/>
          </w:tcPr>
          <w:p w14:paraId="2B04BE44">
            <w:pPr>
              <w:jc w:val="both"/>
              <w:rPr>
                <w:color w:val="auto"/>
                <w:szCs w:val="24"/>
              </w:rPr>
            </w:pPr>
            <w:r>
              <w:rPr>
                <w:color w:val="auto"/>
                <w:szCs w:val="24"/>
              </w:rPr>
              <w:t>Z</w:t>
            </w:r>
          </w:p>
        </w:tc>
        <w:tc>
          <w:tcPr>
            <w:tcW w:w="2836" w:type="dxa"/>
          </w:tcPr>
          <w:p w14:paraId="7003EF6C">
            <w:pPr>
              <w:jc w:val="both"/>
              <w:rPr>
                <w:color w:val="auto"/>
                <w:szCs w:val="24"/>
              </w:rPr>
            </w:pPr>
            <w:r>
              <w:rPr>
                <w:color w:val="auto"/>
                <w:szCs w:val="24"/>
              </w:rPr>
              <w:t>184.1</w:t>
            </w:r>
          </w:p>
        </w:tc>
      </w:tr>
    </w:tbl>
    <w:p w14:paraId="652F1B0C">
      <w:pPr>
        <w:ind w:left="720"/>
        <w:jc w:val="center"/>
        <w:rPr>
          <w:i/>
          <w:iCs/>
          <w:color w:val="auto"/>
          <w:szCs w:val="24"/>
        </w:rPr>
      </w:pPr>
      <w:r>
        <w:rPr>
          <w:i/>
          <w:iCs/>
          <w:color w:val="auto"/>
          <w:szCs w:val="24"/>
        </w:rPr>
        <w:t xml:space="preserve">Referred from the official </w:t>
      </w:r>
      <w:r>
        <w:rPr>
          <w:i/>
          <w:iCs/>
          <w:color w:val="000000" w:themeColor="text1"/>
          <w:szCs w:val="24"/>
          <w14:textFill>
            <w14:solidFill>
              <w14:schemeClr w14:val="tx1"/>
            </w14:solidFill>
          </w14:textFill>
        </w:rPr>
        <w:t xml:space="preserve">Ontario Motor Fuel Prices </w:t>
      </w:r>
      <w:r>
        <w:rPr>
          <w:i/>
          <w:iCs/>
          <w:color w:val="auto"/>
          <w:szCs w:val="24"/>
        </w:rPr>
        <w:t>website.</w:t>
      </w:r>
    </w:p>
    <w:p w14:paraId="27FCACB2">
      <w:pPr>
        <w:ind w:left="720"/>
        <w:jc w:val="center"/>
        <w:rPr>
          <w:i/>
          <w:iCs/>
          <w:color w:val="auto"/>
          <w:szCs w:val="24"/>
        </w:rPr>
      </w:pPr>
      <w:r>
        <w:rPr>
          <w:i/>
          <w:iCs/>
          <w:color w:val="auto"/>
          <w:szCs w:val="24"/>
        </w:rPr>
        <w:t xml:space="preserve">Link: </w:t>
      </w:r>
      <w:r>
        <w:fldChar w:fldCharType="begin"/>
      </w:r>
      <w:r>
        <w:instrText xml:space="preserve"> HYPERLINK "https://www.ontario.ca/motor-fuel-prices/" </w:instrText>
      </w:r>
      <w:r>
        <w:fldChar w:fldCharType="separate"/>
      </w:r>
      <w:r>
        <w:rPr>
          <w:rStyle w:val="14"/>
          <w:i/>
          <w:iCs/>
          <w:color w:val="0083B3" w:themeColor="accent4" w:themeShade="BF"/>
          <w:szCs w:val="24"/>
        </w:rPr>
        <w:t>https://www.ontario.ca/motor-fuel-prices/</w:t>
      </w:r>
      <w:r>
        <w:rPr>
          <w:rStyle w:val="14"/>
          <w:i/>
          <w:iCs/>
          <w:color w:val="0083B3" w:themeColor="accent4" w:themeShade="BF"/>
          <w:szCs w:val="24"/>
        </w:rPr>
        <w:fldChar w:fldCharType="end"/>
      </w:r>
    </w:p>
    <w:p w14:paraId="65A42364"/>
    <w:tbl>
      <w:tblPr>
        <w:tblStyle w:val="7"/>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89"/>
      </w:tblGrid>
      <w:tr w14:paraId="50F53EAA">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0973" w:type="dxa"/>
          </w:tcPr>
          <w:p w14:paraId="451EFDA3">
            <w:pPr>
              <w:pStyle w:val="2"/>
              <w:numPr>
                <w:ilvl w:val="0"/>
                <w:numId w:val="8"/>
              </w:numPr>
              <w:ind w:hanging="833"/>
            </w:pPr>
            <w:bookmarkStart w:id="5" w:name="_Toc1510190974"/>
            <w:r>
              <w:t>Constraints</w:t>
            </w:r>
            <w:bookmarkEnd w:id="5"/>
          </w:p>
        </w:tc>
      </w:tr>
    </w:tbl>
    <w:p w14:paraId="3D8C0BDF">
      <w:pPr>
        <w:pStyle w:val="34"/>
        <w:rPr>
          <w:rFonts w:ascii="Arial" w:hAnsi="Arial" w:eastAsia="Arial" w:cs="Arial"/>
          <w:b/>
          <w:bCs/>
          <w:color w:val="000000" w:themeColor="text1"/>
          <w14:textFill>
            <w14:solidFill>
              <w14:schemeClr w14:val="tx1"/>
            </w14:solidFill>
          </w14:textFill>
        </w:rPr>
      </w:pPr>
    </w:p>
    <w:p w14:paraId="7A16B809">
      <w:pPr>
        <w:pStyle w:val="34"/>
        <w:numPr>
          <w:ilvl w:val="0"/>
          <w:numId w:val="12"/>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Fuel Price Fluctuations</w:t>
      </w:r>
    </w:p>
    <w:p w14:paraId="549F2076">
      <w:pPr>
        <w:pStyle w:val="34"/>
        <w:numPr>
          <w:ilvl w:val="1"/>
          <w:numId w:val="13"/>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Type: </w:t>
      </w:r>
      <w:r>
        <w:rPr>
          <w:rFonts w:ascii="Arial" w:hAnsi="Arial" w:eastAsia="Arial" w:cs="Arial"/>
          <w:color w:val="000000" w:themeColor="text1"/>
          <w14:textFill>
            <w14:solidFill>
              <w14:schemeClr w14:val="tx1"/>
            </w14:solidFill>
          </w14:textFill>
        </w:rPr>
        <w:t>Soft constraint</w:t>
      </w:r>
    </w:p>
    <w:p w14:paraId="77AD3DFC">
      <w:pPr>
        <w:pStyle w:val="34"/>
        <w:numPr>
          <w:ilvl w:val="1"/>
          <w:numId w:val="13"/>
        </w:numPr>
        <w:rPr>
          <w:rFonts w:ascii="Arial" w:hAnsi="Arial" w:eastAsia="Arial" w:cs="Arial"/>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Assumption: </w:t>
      </w:r>
      <w:r>
        <w:rPr>
          <w:rFonts w:ascii="Arial" w:hAnsi="Arial" w:eastAsia="Arial" w:cs="Arial"/>
          <w:color w:val="000000" w:themeColor="text1"/>
          <w14:textFill>
            <w14:solidFill>
              <w14:schemeClr w14:val="tx1"/>
            </w14:solidFill>
          </w14:textFill>
        </w:rPr>
        <w:t>Market Stability</w:t>
      </w:r>
    </w:p>
    <w:p w14:paraId="39A4A6CA">
      <w:pPr>
        <w:pStyle w:val="34"/>
        <w:numPr>
          <w:ilvl w:val="1"/>
          <w:numId w:val="13"/>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themeTint="FF"/>
          <w14:textFill>
            <w14:solidFill>
              <w14:schemeClr w14:val="tx1">
                <w14:lumMod w14:val="100000"/>
                <w14:lumOff w14:val="0"/>
              </w14:schemeClr>
            </w14:solidFill>
          </w14:textFill>
        </w:rPr>
        <w:t xml:space="preserve">Description: </w:t>
      </w:r>
      <w:r>
        <w:rPr>
          <w:rFonts w:ascii="Arial" w:hAnsi="Arial" w:eastAsia="Arial" w:cs="Arial"/>
          <w:color w:val="000000" w:themeColor="text1" w:themeTint="FF"/>
          <w14:textFill>
            <w14:solidFill>
              <w14:schemeClr w14:val="tx1">
                <w14:lumMod w14:val="100000"/>
                <w14:lumOff w14:val="0"/>
              </w14:schemeClr>
            </w14:solidFill>
          </w14:textFill>
        </w:rPr>
        <w:t>The fuel prices used in the calculations are based on current government estimates, which may change due to market conditions, impacting cost-related analysis.</w:t>
      </w:r>
    </w:p>
    <w:p w14:paraId="4EE55346">
      <w:pPr>
        <w:pStyle w:val="34"/>
        <w:ind w:left="1440"/>
        <w:rPr>
          <w:rFonts w:ascii="Arial" w:hAnsi="Arial" w:eastAsia="Arial" w:cs="Arial"/>
          <w:b/>
          <w:bCs/>
          <w:color w:val="000000" w:themeColor="text1"/>
          <w14:textFill>
            <w14:solidFill>
              <w14:schemeClr w14:val="tx1"/>
            </w14:solidFill>
          </w14:textFill>
        </w:rPr>
      </w:pPr>
    </w:p>
    <w:p w14:paraId="263A2877">
      <w:pPr>
        <w:pStyle w:val="34"/>
        <w:numPr>
          <w:ilvl w:val="0"/>
          <w:numId w:val="12"/>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Regulatory Constraints</w:t>
      </w:r>
    </w:p>
    <w:p w14:paraId="202F1E0C">
      <w:pPr>
        <w:pStyle w:val="34"/>
        <w:numPr>
          <w:ilvl w:val="1"/>
          <w:numId w:val="14"/>
        </w:numPr>
        <w:rPr>
          <w:rFonts w:ascii="Arial" w:hAnsi="Arial" w:eastAsia="Arial" w:cs="Arial"/>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Type: </w:t>
      </w:r>
      <w:r>
        <w:rPr>
          <w:rFonts w:ascii="Arial" w:hAnsi="Arial" w:eastAsia="Arial" w:cs="Arial"/>
          <w:color w:val="000000" w:themeColor="text1"/>
          <w14:textFill>
            <w14:solidFill>
              <w14:schemeClr w14:val="tx1"/>
            </w14:solidFill>
          </w14:textFill>
        </w:rPr>
        <w:t>Hard constraint</w:t>
      </w:r>
    </w:p>
    <w:p w14:paraId="4AA06A68">
      <w:pPr>
        <w:pStyle w:val="34"/>
        <w:numPr>
          <w:ilvl w:val="1"/>
          <w:numId w:val="14"/>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Assumption: </w:t>
      </w:r>
      <w:r>
        <w:rPr>
          <w:rFonts w:ascii="Arial" w:hAnsi="Arial" w:eastAsia="Arial" w:cs="Arial"/>
          <w:color w:val="000000" w:themeColor="text1"/>
          <w14:textFill>
            <w14:solidFill>
              <w14:schemeClr w14:val="tx1"/>
            </w14:solidFill>
          </w14:textFill>
        </w:rPr>
        <w:t>Compliance with Canadian Standards</w:t>
      </w:r>
    </w:p>
    <w:p w14:paraId="077C7AAC">
      <w:pPr>
        <w:pStyle w:val="34"/>
        <w:numPr>
          <w:ilvl w:val="1"/>
          <w:numId w:val="14"/>
        </w:numPr>
        <w:rPr>
          <w:rFonts w:ascii="Arial" w:hAnsi="Arial" w:eastAsia="Arial" w:cs="Arial"/>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Description: </w:t>
      </w:r>
      <w:r>
        <w:rPr>
          <w:rFonts w:ascii="Arial" w:hAnsi="Arial" w:eastAsia="Arial" w:cs="Arial"/>
          <w:color w:val="000000" w:themeColor="text1"/>
          <w14:textFill>
            <w14:solidFill>
              <w14:schemeClr w14:val="tx1"/>
            </w14:solidFill>
          </w14:textFill>
        </w:rPr>
        <w:t>The model must adhere to Canadian environmental and fuel efficiency regulations, ensuring realistic CO</w:t>
      </w:r>
      <w:r>
        <w:rPr>
          <w:rFonts w:ascii="Cambria Math" w:hAnsi="Cambria Math" w:eastAsia="Arial" w:cs="Cambria Math"/>
          <w:color w:val="000000" w:themeColor="text1"/>
          <w14:textFill>
            <w14:solidFill>
              <w14:schemeClr w14:val="tx1"/>
            </w14:solidFill>
          </w14:textFill>
        </w:rPr>
        <w:t>₂</w:t>
      </w:r>
      <w:r>
        <w:rPr>
          <w:rFonts w:ascii="Arial" w:hAnsi="Arial" w:eastAsia="Arial" w:cs="Arial"/>
          <w:color w:val="000000" w:themeColor="text1"/>
          <w14:textFill>
            <w14:solidFill>
              <w14:schemeClr w14:val="tx1"/>
            </w14:solidFill>
          </w14:textFill>
        </w:rPr>
        <w:t xml:space="preserve"> emissions and fuel consumption calculations.</w:t>
      </w:r>
    </w:p>
    <w:p w14:paraId="35042F78">
      <w:pPr>
        <w:pStyle w:val="34"/>
        <w:ind w:left="1440"/>
        <w:rPr>
          <w:rFonts w:ascii="Arial" w:hAnsi="Arial" w:eastAsia="Arial" w:cs="Arial"/>
          <w:color w:val="000000" w:themeColor="text1"/>
          <w14:textFill>
            <w14:solidFill>
              <w14:schemeClr w14:val="tx1"/>
            </w14:solidFill>
          </w14:textFill>
        </w:rPr>
      </w:pPr>
    </w:p>
    <w:p w14:paraId="4864BB3A">
      <w:pPr>
        <w:pStyle w:val="34"/>
        <w:numPr>
          <w:ilvl w:val="0"/>
          <w:numId w:val="12"/>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Feature Engineering Limitations</w:t>
      </w:r>
    </w:p>
    <w:p w14:paraId="6053DDEA">
      <w:pPr>
        <w:pStyle w:val="34"/>
        <w:numPr>
          <w:ilvl w:val="1"/>
          <w:numId w:val="15"/>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Type: </w:t>
      </w:r>
      <w:r>
        <w:rPr>
          <w:rFonts w:ascii="Arial" w:hAnsi="Arial" w:eastAsia="Arial" w:cs="Arial"/>
          <w:color w:val="000000" w:themeColor="text1"/>
          <w14:textFill>
            <w14:solidFill>
              <w14:schemeClr w14:val="tx1"/>
            </w14:solidFill>
          </w14:textFill>
        </w:rPr>
        <w:t>Soft constraint</w:t>
      </w:r>
    </w:p>
    <w:p w14:paraId="0C75556B">
      <w:pPr>
        <w:pStyle w:val="34"/>
        <w:numPr>
          <w:ilvl w:val="1"/>
          <w:numId w:val="15"/>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Assumption: </w:t>
      </w:r>
      <w:r>
        <w:rPr>
          <w:rFonts w:ascii="Arial" w:hAnsi="Arial" w:eastAsia="Arial" w:cs="Arial"/>
          <w:color w:val="000000" w:themeColor="text1"/>
          <w14:textFill>
            <w14:solidFill>
              <w14:schemeClr w14:val="tx1"/>
            </w14:solidFill>
          </w14:textFill>
        </w:rPr>
        <w:t>Data Consistency</w:t>
      </w:r>
    </w:p>
    <w:p w14:paraId="4D776F72">
      <w:pPr>
        <w:pStyle w:val="34"/>
        <w:numPr>
          <w:ilvl w:val="1"/>
          <w:numId w:val="15"/>
        </w:numPr>
        <w:rPr>
          <w:rFonts w:cstheme="minorHAnsi"/>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 xml:space="preserve">Description: </w:t>
      </w:r>
      <w:r>
        <w:rPr>
          <w:rFonts w:ascii="Arial" w:hAnsi="Arial" w:eastAsia="Arial" w:cs="Arial"/>
          <w:color w:val="000000" w:themeColor="text1"/>
          <w14:textFill>
            <w14:solidFill>
              <w14:schemeClr w14:val="tx1"/>
            </w14:solidFill>
          </w14:textFill>
        </w:rPr>
        <w:t>The calculation of derived metrics like Fuel Efficiency Score, Annual Carbon Tax, and Fuel Cost per Passenger-Kilometer depends on predefined formulas and assumptions, which may not cover all real-world variations.</w:t>
      </w:r>
    </w:p>
    <w:p w14:paraId="18BB9BD6">
      <w:pPr>
        <w:pStyle w:val="34"/>
        <w:ind w:left="1440"/>
        <w:rPr>
          <w:rFonts w:cstheme="minorHAnsi"/>
          <w:color w:val="000000" w:themeColor="text1"/>
          <w14:textFill>
            <w14:solidFill>
              <w14:schemeClr w14:val="tx1"/>
            </w14:solidFill>
          </w14:textFill>
        </w:rPr>
      </w:pPr>
    </w:p>
    <w:p w14:paraId="50FCB14F">
      <w:pPr>
        <w:pStyle w:val="34"/>
        <w:numPr>
          <w:ilvl w:val="0"/>
          <w:numId w:val="12"/>
        </w:numPr>
        <w:rPr>
          <w:rFonts w:ascii="Arial" w:hAnsi="Arial" w:eastAsia="Arial" w:cs="Arial"/>
          <w:b/>
          <w:bCs/>
          <w:color w:val="000000" w:themeColor="text1"/>
          <w14:textFill>
            <w14:solidFill>
              <w14:schemeClr w14:val="tx1"/>
            </w14:solidFill>
          </w14:textFill>
        </w:rPr>
      </w:pPr>
      <w:r>
        <w:rPr>
          <w:rFonts w:ascii="Arial" w:hAnsi="Arial" w:eastAsia="Arial" w:cs="Arial"/>
          <w:b/>
          <w:bCs/>
          <w:color w:val="000000" w:themeColor="text1"/>
          <w14:textFill>
            <w14:solidFill>
              <w14:schemeClr w14:val="tx1"/>
            </w14:solidFill>
          </w14:textFill>
        </w:rPr>
        <w:t>Data Access</w:t>
      </w:r>
    </w:p>
    <w:p w14:paraId="092B136C">
      <w:pPr>
        <w:pStyle w:val="34"/>
        <w:numPr>
          <w:ilvl w:val="0"/>
          <w:numId w:val="16"/>
        </w:numPr>
        <w:rPr>
          <w:rFonts w:cstheme="minorHAnsi"/>
          <w:color w:val="000000" w:themeColor="text1"/>
          <w14:textFill>
            <w14:solidFill>
              <w14:schemeClr w14:val="tx1"/>
            </w14:solidFill>
          </w14:textFill>
        </w:rPr>
      </w:pPr>
      <w:r>
        <w:rPr>
          <w:rFonts w:cstheme="minorHAnsi"/>
          <w:b/>
          <w:bCs/>
          <w:color w:val="000000" w:themeColor="text1"/>
          <w14:textFill>
            <w14:solidFill>
              <w14:schemeClr w14:val="tx1"/>
            </w14:solidFill>
          </w14:textFill>
        </w:rPr>
        <w:t>Type:</w:t>
      </w:r>
      <w:r>
        <w:rPr>
          <w:rFonts w:cstheme="minorHAnsi"/>
          <w:color w:val="000000" w:themeColor="text1"/>
          <w14:textFill>
            <w14:solidFill>
              <w14:schemeClr w14:val="tx1"/>
            </w14:solidFill>
          </w14:textFill>
        </w:rPr>
        <w:t xml:space="preserve"> Hard constraint</w:t>
      </w:r>
    </w:p>
    <w:p w14:paraId="5494C30A">
      <w:pPr>
        <w:pStyle w:val="34"/>
        <w:numPr>
          <w:ilvl w:val="0"/>
          <w:numId w:val="16"/>
        </w:numPr>
        <w:rPr>
          <w:rFonts w:cstheme="minorHAnsi"/>
          <w:color w:val="000000" w:themeColor="text1"/>
          <w14:textFill>
            <w14:solidFill>
              <w14:schemeClr w14:val="tx1"/>
            </w14:solidFill>
          </w14:textFill>
        </w:rPr>
      </w:pPr>
      <w:r>
        <w:rPr>
          <w:rFonts w:cstheme="minorHAnsi"/>
          <w:b/>
          <w:bCs/>
          <w:color w:val="000000" w:themeColor="text1"/>
          <w14:textFill>
            <w14:solidFill>
              <w14:schemeClr w14:val="tx1"/>
            </w14:solidFill>
          </w14:textFill>
        </w:rPr>
        <w:t>Assumption:</w:t>
      </w:r>
      <w:r>
        <w:rPr>
          <w:rFonts w:cstheme="minorHAnsi"/>
          <w:color w:val="000000" w:themeColor="text1"/>
          <w14:textFill>
            <w14:solidFill>
              <w14:schemeClr w14:val="tx1"/>
            </w14:solidFill>
          </w14:textFill>
        </w:rPr>
        <w:t xml:space="preserve"> Data Completeness</w:t>
      </w:r>
    </w:p>
    <w:p w14:paraId="31E23C6B">
      <w:pPr>
        <w:pStyle w:val="34"/>
        <w:numPr>
          <w:ilvl w:val="0"/>
          <w:numId w:val="16"/>
        </w:numPr>
        <w:rPr>
          <w:rFonts w:cstheme="minorHAnsi"/>
          <w:color w:val="000000" w:themeColor="text1"/>
          <w14:textFill>
            <w14:solidFill>
              <w14:schemeClr w14:val="tx1"/>
            </w14:solidFill>
          </w14:textFill>
        </w:rPr>
      </w:pPr>
      <w:r>
        <w:rPr>
          <w:rFonts w:cstheme="minorHAnsi"/>
          <w:b/>
          <w:bCs/>
          <w:color w:val="000000" w:themeColor="text1"/>
          <w14:textFill>
            <w14:solidFill>
              <w14:schemeClr w14:val="tx1"/>
            </w14:solidFill>
          </w14:textFill>
        </w:rPr>
        <w:t>Description:</w:t>
      </w:r>
      <w:r>
        <w:rPr>
          <w:rFonts w:cstheme="minorHAnsi"/>
          <w:color w:val="000000" w:themeColor="text1"/>
          <w14:textFill>
            <w14:solidFill>
              <w14:schemeClr w14:val="tx1"/>
            </w14:solidFill>
          </w14:textFill>
        </w:rPr>
        <w:t xml:space="preserve"> The accuracy and reliability of the model are dependent on the quality and sufficiency of the </w:t>
      </w:r>
      <w:r>
        <w:rPr>
          <w:rFonts w:cstheme="minorHAnsi"/>
          <w:color w:val="000000" w:themeColor="text1"/>
          <w:lang w:val="en-US"/>
          <w14:textFill>
            <w14:solidFill>
              <w14:schemeClr w14:val="tx1"/>
            </w14:solidFill>
          </w14:textFill>
        </w:rPr>
        <w:t>dataset</w:t>
      </w:r>
      <w:r>
        <w:rPr>
          <w:rFonts w:cstheme="minorHAnsi"/>
          <w:color w:val="000000" w:themeColor="text1"/>
          <w14:textFill>
            <w14:solidFill>
              <w14:schemeClr w14:val="tx1"/>
            </w14:solidFill>
          </w14:textFill>
        </w:rPr>
        <w:t>. If data is missing or biased, the model's predictions may not generalize well.</w:t>
      </w:r>
    </w:p>
    <w:p w14:paraId="239913DF">
      <w:pPr>
        <w:rPr>
          <w:rFonts w:cstheme="minorHAnsi"/>
          <w:color w:val="000000" w:themeColor="text1"/>
          <w14:textFill>
            <w14:solidFill>
              <w14:schemeClr w14:val="tx1"/>
            </w14:solidFill>
          </w14:textFill>
        </w:rPr>
      </w:pPr>
    </w:p>
    <w:p w14:paraId="7B613D02">
      <w:pPr>
        <w:rPr>
          <w:color w:val="000000" w:themeColor="text1"/>
          <w14:textFill>
            <w14:solidFill>
              <w14:schemeClr w14:val="tx1"/>
            </w14:solidFill>
          </w14:textFill>
        </w:rPr>
      </w:pPr>
    </w:p>
    <w:p w14:paraId="23AE8B27">
      <w:pPr>
        <w:rPr>
          <w:color w:val="000000" w:themeColor="text1"/>
          <w14:textFill>
            <w14:solidFill>
              <w14:schemeClr w14:val="tx1"/>
            </w14:solidFill>
          </w14:textFill>
        </w:rPr>
      </w:pPr>
    </w:p>
    <w:tbl>
      <w:tblPr>
        <w:tblStyle w:val="7"/>
        <w:tblW w:w="5000" w:type="pct"/>
        <w:tblInd w:w="0" w:type="dxa"/>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89"/>
      </w:tblGrid>
      <w:tr w14:paraId="3A669B85">
        <w:tblPrEx>
          <w:tblBorders>
            <w:top w:val="none" w:color="auto" w:sz="0" w:space="0"/>
            <w:left w:val="none" w:color="auto" w:sz="0" w:space="0"/>
            <w:bottom w:val="single" w:color="F0CDA1" w:themeColor="accent1"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0973" w:type="dxa"/>
          </w:tcPr>
          <w:p w14:paraId="57FDB070">
            <w:pPr>
              <w:pStyle w:val="2"/>
            </w:pPr>
            <w:bookmarkStart w:id="6" w:name="_Toc1394548837"/>
            <w:r>
              <w:t>Timeline and Deliverables</w:t>
            </w:r>
            <w:bookmarkEnd w:id="6"/>
          </w:p>
        </w:tc>
      </w:tr>
    </w:tbl>
    <w:p w14:paraId="167A5D8A">
      <w:pPr>
        <w:rPr>
          <w:b/>
          <w:color w:val="auto"/>
          <w:sz w:val="28"/>
          <w:szCs w:val="28"/>
        </w:rPr>
      </w:pPr>
      <w:bookmarkStart w:id="7" w:name="_GoBack"/>
      <w:bookmarkEnd w:id="7"/>
    </w:p>
    <w:tbl>
      <w:tblPr>
        <w:tblStyle w:val="62"/>
        <w:tblpPr w:leftFromText="180" w:rightFromText="180" w:vertAnchor="text" w:horzAnchor="margin" w:tblpXSpec="center" w:tblpY="47"/>
        <w:tblW w:w="0" w:type="auto"/>
        <w:tblInd w:w="0" w:type="dxa"/>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Layout w:type="fixed"/>
        <w:tblCellMar>
          <w:top w:w="0" w:type="dxa"/>
          <w:left w:w="108" w:type="dxa"/>
          <w:bottom w:w="0" w:type="dxa"/>
          <w:right w:w="108" w:type="dxa"/>
        </w:tblCellMar>
      </w:tblPr>
      <w:tblGrid>
        <w:gridCol w:w="2875"/>
        <w:gridCol w:w="2790"/>
        <w:gridCol w:w="4580"/>
      </w:tblGrid>
      <w:tr w14:paraId="704D2503">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Borders>
              <w:top w:val="single" w:color="F0CDA1" w:themeColor="accent1" w:sz="4" w:space="0"/>
              <w:left w:val="single" w:color="F0CDA1" w:themeColor="accent1" w:sz="4" w:space="0"/>
              <w:bottom w:val="single" w:color="F0CDA1" w:themeColor="accent1" w:sz="4" w:space="0"/>
              <w:right w:val="nil"/>
              <w:insideH w:val="single" w:sz="4" w:space="0"/>
              <w:insideV w:val="nil"/>
            </w:tcBorders>
            <w:shd w:val="clear" w:color="auto" w:fill="F0CDA1" w:themeFill="accent1"/>
          </w:tcPr>
          <w:p w14:paraId="537B4EAB">
            <w:pPr>
              <w:rPr>
                <w:rFonts w:ascii="Arial" w:hAnsi="Arial" w:eastAsia="Arial" w:cs="Arial"/>
                <w:b/>
                <w:bCs/>
                <w:color w:val="auto"/>
                <w:szCs w:val="24"/>
              </w:rPr>
            </w:pPr>
            <w:r>
              <w:rPr>
                <w:rFonts w:ascii="Arial" w:hAnsi="Arial" w:eastAsia="Arial" w:cs="Arial"/>
                <w:b/>
                <w:bCs/>
                <w:color w:val="auto"/>
                <w:szCs w:val="24"/>
              </w:rPr>
              <w:t>DELIVERABLE</w:t>
            </w:r>
          </w:p>
        </w:tc>
        <w:tc>
          <w:tcPr>
            <w:tcW w:w="2790" w:type="dxa"/>
            <w:tcBorders>
              <w:top w:val="single" w:color="F0CDA1" w:themeColor="accent1" w:sz="4" w:space="0"/>
              <w:bottom w:val="single" w:color="F0CDA1" w:themeColor="accent1" w:sz="4" w:space="0"/>
              <w:right w:val="nil"/>
              <w:insideH w:val="single" w:sz="4" w:space="0"/>
              <w:insideV w:val="nil"/>
            </w:tcBorders>
            <w:shd w:val="clear" w:color="auto" w:fill="F0CDA1" w:themeFill="accent1"/>
          </w:tcPr>
          <w:p w14:paraId="3C85DDAC">
            <w:pPr>
              <w:rPr>
                <w:rFonts w:ascii="Arial" w:hAnsi="Arial" w:eastAsia="Arial" w:cs="Arial"/>
                <w:b/>
                <w:bCs/>
                <w:color w:val="auto"/>
                <w:szCs w:val="24"/>
              </w:rPr>
            </w:pPr>
            <w:r>
              <w:rPr>
                <w:rFonts w:ascii="Arial" w:hAnsi="Arial" w:eastAsia="Arial" w:cs="Arial"/>
                <w:b/>
                <w:bCs/>
                <w:color w:val="auto"/>
                <w:szCs w:val="24"/>
              </w:rPr>
              <w:t>DUE DATE</w:t>
            </w:r>
          </w:p>
        </w:tc>
        <w:tc>
          <w:tcPr>
            <w:tcW w:w="4580" w:type="dxa"/>
            <w:tcBorders>
              <w:top w:val="single" w:color="F0CDA1" w:themeColor="accent1" w:sz="4" w:space="0"/>
              <w:bottom w:val="single" w:color="F0CDA1" w:themeColor="accent1" w:sz="4" w:space="0"/>
              <w:right w:val="single" w:color="F0CDA1" w:themeColor="accent1" w:sz="4" w:space="0"/>
              <w:insideH w:val="single" w:sz="4" w:space="0"/>
              <w:insideV w:val="nil"/>
            </w:tcBorders>
            <w:shd w:val="clear" w:color="auto" w:fill="F0CDA1" w:themeFill="accent1"/>
          </w:tcPr>
          <w:p w14:paraId="7695EA5F">
            <w:pPr>
              <w:rPr>
                <w:rFonts w:ascii="Arial" w:hAnsi="Arial" w:eastAsia="Arial" w:cs="Arial"/>
                <w:b/>
                <w:bCs/>
                <w:color w:val="auto"/>
                <w:szCs w:val="24"/>
              </w:rPr>
            </w:pPr>
            <w:r>
              <w:rPr>
                <w:rFonts w:ascii="Arial" w:hAnsi="Arial" w:eastAsia="Arial" w:cs="Arial"/>
                <w:b/>
                <w:bCs/>
                <w:color w:val="auto"/>
                <w:szCs w:val="24"/>
              </w:rPr>
              <w:t>DESCRIPTION</w:t>
            </w:r>
          </w:p>
        </w:tc>
      </w:tr>
      <w:tr w14:paraId="4AC5FD6D">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5A91D083">
            <w:pPr>
              <w:rPr>
                <w:rFonts w:ascii="Arial" w:hAnsi="Arial" w:eastAsia="Arial" w:cs="Arial"/>
                <w:b/>
                <w:bCs/>
                <w:color w:val="auto"/>
                <w:szCs w:val="24"/>
              </w:rPr>
            </w:pPr>
            <w:r>
              <w:rPr>
                <w:rFonts w:ascii="Arial" w:hAnsi="Arial" w:eastAsia="Arial" w:cs="Arial"/>
                <w:b/>
                <w:bCs/>
                <w:color w:val="auto"/>
                <w:szCs w:val="24"/>
              </w:rPr>
              <w:t>Project Plan</w:t>
            </w:r>
          </w:p>
        </w:tc>
        <w:tc>
          <w:tcPr>
            <w:tcW w:w="2790" w:type="dxa"/>
          </w:tcPr>
          <w:p w14:paraId="26F90523">
            <w:pPr>
              <w:rPr>
                <w:rFonts w:ascii="Arial" w:hAnsi="Arial" w:eastAsia="Arial" w:cs="Arial"/>
                <w:color w:val="auto"/>
              </w:rPr>
            </w:pPr>
            <w:r>
              <w:rPr>
                <w:rFonts w:ascii="Arial" w:hAnsi="Arial" w:eastAsia="Arial" w:cs="Arial"/>
                <w:color w:val="auto"/>
              </w:rPr>
              <w:t>January 31, 2025</w:t>
            </w:r>
          </w:p>
        </w:tc>
        <w:tc>
          <w:tcPr>
            <w:tcW w:w="4580" w:type="dxa"/>
          </w:tcPr>
          <w:p w14:paraId="3A46D77F">
            <w:pPr>
              <w:rPr>
                <w:rFonts w:ascii="Arial" w:hAnsi="Arial" w:eastAsia="Arial" w:cs="Arial"/>
                <w:color w:val="auto"/>
                <w:szCs w:val="24"/>
              </w:rPr>
            </w:pPr>
            <w:r>
              <w:rPr>
                <w:rFonts w:ascii="Arial" w:hAnsi="Arial" w:eastAsia="Arial" w:cs="Arial"/>
                <w:color w:val="auto"/>
                <w:szCs w:val="24"/>
              </w:rPr>
              <w:t>Initial problem statement, methodology, and expected outcomes.</w:t>
            </w:r>
          </w:p>
        </w:tc>
      </w:tr>
      <w:tr w14:paraId="08C5792B">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289813B8">
            <w:pPr>
              <w:rPr>
                <w:rFonts w:ascii="Arial" w:hAnsi="Arial" w:eastAsia="Arial" w:cs="Arial"/>
                <w:b/>
                <w:bCs/>
                <w:color w:val="auto"/>
                <w:szCs w:val="24"/>
              </w:rPr>
            </w:pPr>
            <w:r>
              <w:rPr>
                <w:rFonts w:ascii="Arial" w:hAnsi="Arial" w:eastAsia="Arial" w:cs="Arial"/>
                <w:b/>
                <w:bCs/>
                <w:color w:val="auto"/>
                <w:szCs w:val="24"/>
              </w:rPr>
              <w:t>Data Collection and Cleaning</w:t>
            </w:r>
          </w:p>
        </w:tc>
        <w:tc>
          <w:tcPr>
            <w:tcW w:w="2790" w:type="dxa"/>
          </w:tcPr>
          <w:p w14:paraId="6D393A81">
            <w:pPr>
              <w:rPr>
                <w:rFonts w:ascii="Arial" w:hAnsi="Arial" w:eastAsia="Arial" w:cs="Arial"/>
                <w:color w:val="auto"/>
              </w:rPr>
            </w:pPr>
            <w:r>
              <w:rPr>
                <w:rFonts w:ascii="Arial" w:hAnsi="Arial" w:eastAsia="Arial" w:cs="Arial"/>
                <w:color w:val="auto"/>
              </w:rPr>
              <w:t>February 19, 2025</w:t>
            </w:r>
          </w:p>
        </w:tc>
        <w:tc>
          <w:tcPr>
            <w:tcW w:w="4580" w:type="dxa"/>
          </w:tcPr>
          <w:p w14:paraId="47865DB3">
            <w:pPr>
              <w:rPr>
                <w:rFonts w:ascii="Arial" w:hAnsi="Arial" w:eastAsia="Arial" w:cs="Arial"/>
                <w:color w:val="auto"/>
                <w:szCs w:val="24"/>
              </w:rPr>
            </w:pPr>
            <w:r>
              <w:rPr>
                <w:rFonts w:ascii="Arial" w:hAnsi="Arial" w:eastAsia="Arial" w:cs="Arial"/>
                <w:color w:val="auto"/>
                <w:szCs w:val="24"/>
              </w:rPr>
              <w:t>Gather, clean, and prepare the dataset for analysis.</w:t>
            </w:r>
          </w:p>
        </w:tc>
      </w:tr>
      <w:tr w14:paraId="5A5ADF2D">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1AC611A2">
            <w:pPr>
              <w:rPr>
                <w:rFonts w:ascii="Arial" w:hAnsi="Arial" w:eastAsia="Arial" w:cs="Arial"/>
                <w:b/>
                <w:bCs/>
                <w:color w:val="auto"/>
                <w:szCs w:val="24"/>
              </w:rPr>
            </w:pPr>
            <w:r>
              <w:rPr>
                <w:rFonts w:ascii="Arial" w:hAnsi="Arial" w:eastAsia="Arial" w:cs="Arial"/>
                <w:b/>
                <w:bCs/>
                <w:color w:val="auto"/>
                <w:szCs w:val="24"/>
              </w:rPr>
              <w:t>Preliminary Model</w:t>
            </w:r>
          </w:p>
        </w:tc>
        <w:tc>
          <w:tcPr>
            <w:tcW w:w="2790" w:type="dxa"/>
          </w:tcPr>
          <w:p w14:paraId="3B9F315E">
            <w:pPr>
              <w:rPr>
                <w:rFonts w:ascii="Arial" w:hAnsi="Arial" w:eastAsia="Arial" w:cs="Arial"/>
                <w:color w:val="auto"/>
              </w:rPr>
            </w:pPr>
            <w:r>
              <w:rPr>
                <w:rFonts w:ascii="Arial" w:hAnsi="Arial" w:eastAsia="Arial" w:cs="Arial"/>
                <w:color w:val="auto"/>
              </w:rPr>
              <w:t>March 18, 2025</w:t>
            </w:r>
          </w:p>
        </w:tc>
        <w:tc>
          <w:tcPr>
            <w:tcW w:w="4580" w:type="dxa"/>
          </w:tcPr>
          <w:p w14:paraId="6535C1DB">
            <w:pPr>
              <w:rPr>
                <w:rFonts w:ascii="Arial" w:hAnsi="Arial" w:eastAsia="Arial" w:cs="Arial"/>
                <w:color w:val="auto"/>
                <w:szCs w:val="24"/>
              </w:rPr>
            </w:pPr>
            <w:r>
              <w:rPr>
                <w:rFonts w:ascii="Arial" w:hAnsi="Arial" w:eastAsia="Arial" w:cs="Arial"/>
                <w:color w:val="auto"/>
                <w:szCs w:val="24"/>
              </w:rPr>
              <w:t xml:space="preserve">Build and test a preliminary model that predicts </w:t>
            </w:r>
            <w:r>
              <w:rPr>
                <w:rFonts w:ascii="Arial" w:hAnsi="Arial" w:eastAsia="Arial" w:cs="Arial"/>
                <w:color w:val="auto"/>
              </w:rPr>
              <w:t>fuel costs, emissions, and carbon taxes.</w:t>
            </w:r>
          </w:p>
        </w:tc>
      </w:tr>
      <w:tr w14:paraId="19D59405">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6B309B69">
            <w:pPr>
              <w:rPr>
                <w:rFonts w:ascii="Arial" w:hAnsi="Arial" w:eastAsia="Arial" w:cs="Arial"/>
                <w:b/>
                <w:bCs/>
                <w:color w:val="auto"/>
                <w:szCs w:val="24"/>
              </w:rPr>
            </w:pPr>
            <w:r>
              <w:rPr>
                <w:rFonts w:ascii="Arial" w:hAnsi="Arial" w:eastAsia="Arial" w:cs="Arial"/>
                <w:b/>
                <w:bCs/>
                <w:color w:val="auto"/>
                <w:szCs w:val="24"/>
              </w:rPr>
              <w:t>Final Model</w:t>
            </w:r>
          </w:p>
        </w:tc>
        <w:tc>
          <w:tcPr>
            <w:tcW w:w="2790" w:type="dxa"/>
          </w:tcPr>
          <w:p w14:paraId="42C6F1B9">
            <w:pPr>
              <w:rPr>
                <w:rFonts w:ascii="Arial" w:hAnsi="Arial" w:eastAsia="Arial" w:cs="Arial"/>
                <w:color w:val="auto"/>
              </w:rPr>
            </w:pPr>
            <w:r>
              <w:rPr>
                <w:rFonts w:ascii="Arial" w:hAnsi="Arial" w:eastAsia="Arial" w:cs="Arial"/>
                <w:color w:val="auto"/>
              </w:rPr>
              <w:t>April 4, 2025</w:t>
            </w:r>
          </w:p>
        </w:tc>
        <w:tc>
          <w:tcPr>
            <w:tcW w:w="4580" w:type="dxa"/>
          </w:tcPr>
          <w:p w14:paraId="6534134E">
            <w:pPr>
              <w:rPr>
                <w:rFonts w:ascii="Arial" w:hAnsi="Arial" w:eastAsia="Arial" w:cs="Arial"/>
                <w:color w:val="auto"/>
                <w:szCs w:val="24"/>
              </w:rPr>
            </w:pPr>
            <w:r>
              <w:rPr>
                <w:rFonts w:ascii="Arial" w:hAnsi="Arial" w:eastAsia="Arial" w:cs="Arial"/>
                <w:color w:val="auto"/>
                <w:szCs w:val="24"/>
              </w:rPr>
              <w:t xml:space="preserve">Create a final model for </w:t>
            </w:r>
            <w:r>
              <w:rPr>
                <w:rFonts w:ascii="Arial" w:hAnsi="Arial" w:eastAsia="Arial" w:cs="Arial"/>
                <w:color w:val="auto"/>
              </w:rPr>
              <w:t>fuel costs, emissions, and carbon taxes</w:t>
            </w:r>
            <w:r>
              <w:rPr>
                <w:rFonts w:ascii="Arial" w:hAnsi="Arial" w:eastAsia="Arial" w:cs="Arial"/>
                <w:color w:val="auto"/>
                <w:szCs w:val="24"/>
              </w:rPr>
              <w:t xml:space="preserve"> prediction.</w:t>
            </w:r>
          </w:p>
        </w:tc>
      </w:tr>
      <w:tr w14:paraId="16660206">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319C40E2">
            <w:pPr>
              <w:rPr>
                <w:rFonts w:ascii="Arial" w:hAnsi="Arial" w:eastAsia="Arial" w:cs="Arial"/>
                <w:b/>
                <w:bCs/>
                <w:color w:val="auto"/>
                <w:szCs w:val="24"/>
              </w:rPr>
            </w:pPr>
            <w:r>
              <w:rPr>
                <w:rFonts w:ascii="Arial" w:hAnsi="Arial" w:eastAsia="Arial" w:cs="Arial"/>
                <w:b/>
                <w:bCs/>
                <w:color w:val="auto"/>
                <w:szCs w:val="24"/>
              </w:rPr>
              <w:t>Final Report</w:t>
            </w:r>
          </w:p>
        </w:tc>
        <w:tc>
          <w:tcPr>
            <w:tcW w:w="2790" w:type="dxa"/>
          </w:tcPr>
          <w:p w14:paraId="5271F95D">
            <w:pPr>
              <w:rPr>
                <w:rFonts w:ascii="Arial" w:hAnsi="Arial" w:eastAsia="Arial" w:cs="Arial"/>
                <w:color w:val="auto"/>
              </w:rPr>
            </w:pPr>
            <w:r>
              <w:rPr>
                <w:rFonts w:ascii="Arial" w:hAnsi="Arial" w:eastAsia="Arial" w:cs="Arial"/>
                <w:color w:val="auto"/>
              </w:rPr>
              <w:t>April 12, 2025</w:t>
            </w:r>
          </w:p>
        </w:tc>
        <w:tc>
          <w:tcPr>
            <w:tcW w:w="4580" w:type="dxa"/>
          </w:tcPr>
          <w:p w14:paraId="797847C3">
            <w:pPr>
              <w:rPr>
                <w:rFonts w:ascii="Arial" w:hAnsi="Arial" w:eastAsia="Arial" w:cs="Arial"/>
                <w:color w:val="auto"/>
                <w:szCs w:val="24"/>
              </w:rPr>
            </w:pPr>
            <w:r>
              <w:rPr>
                <w:rFonts w:ascii="Arial" w:hAnsi="Arial" w:eastAsia="Arial" w:cs="Arial"/>
                <w:color w:val="auto"/>
                <w:szCs w:val="24"/>
              </w:rPr>
              <w:t>Create a final report that includes the final model, analysis, and actionable insights.</w:t>
            </w:r>
          </w:p>
        </w:tc>
      </w:tr>
      <w:tr w14:paraId="512751B7">
        <w:tblPrEx>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CellMar>
            <w:top w:w="0" w:type="dxa"/>
            <w:left w:w="108" w:type="dxa"/>
            <w:bottom w:w="0" w:type="dxa"/>
            <w:right w:w="108" w:type="dxa"/>
          </w:tblCellMar>
        </w:tblPrEx>
        <w:trPr>
          <w:trHeight w:val="300" w:hRule="atLeast"/>
        </w:trPr>
        <w:tc>
          <w:tcPr>
            <w:tcW w:w="2875" w:type="dxa"/>
          </w:tcPr>
          <w:p w14:paraId="62684F28">
            <w:pPr>
              <w:rPr>
                <w:rFonts w:ascii="Arial" w:hAnsi="Arial" w:eastAsia="Arial" w:cs="Arial"/>
                <w:b/>
                <w:bCs/>
                <w:color w:val="auto"/>
                <w:szCs w:val="24"/>
              </w:rPr>
            </w:pPr>
            <w:r>
              <w:rPr>
                <w:rFonts w:ascii="Arial" w:hAnsi="Arial" w:eastAsia="Arial" w:cs="Arial"/>
                <w:b/>
                <w:bCs/>
                <w:color w:val="auto"/>
                <w:szCs w:val="24"/>
              </w:rPr>
              <w:t>Final Presentation</w:t>
            </w:r>
          </w:p>
        </w:tc>
        <w:tc>
          <w:tcPr>
            <w:tcW w:w="2790" w:type="dxa"/>
          </w:tcPr>
          <w:p w14:paraId="56B1AD76">
            <w:pPr>
              <w:rPr>
                <w:rFonts w:ascii="Arial" w:hAnsi="Arial" w:eastAsia="Arial" w:cs="Arial"/>
                <w:color w:val="auto"/>
                <w:szCs w:val="24"/>
              </w:rPr>
            </w:pPr>
            <w:r>
              <w:rPr>
                <w:rFonts w:ascii="Arial" w:hAnsi="Arial" w:eastAsia="Arial" w:cs="Arial"/>
                <w:color w:val="auto"/>
                <w:szCs w:val="24"/>
              </w:rPr>
              <w:t>Week of Apr 9th and 16th</w:t>
            </w:r>
          </w:p>
        </w:tc>
        <w:tc>
          <w:tcPr>
            <w:tcW w:w="4580" w:type="dxa"/>
          </w:tcPr>
          <w:p w14:paraId="79587256">
            <w:pPr>
              <w:rPr>
                <w:rFonts w:ascii="Arial" w:hAnsi="Arial" w:eastAsia="Arial" w:cs="Arial"/>
                <w:color w:val="auto"/>
                <w:szCs w:val="24"/>
              </w:rPr>
            </w:pPr>
            <w:r>
              <w:rPr>
                <w:rFonts w:ascii="Arial" w:hAnsi="Arial" w:eastAsia="Arial" w:cs="Arial"/>
                <w:color w:val="auto"/>
                <w:szCs w:val="24"/>
              </w:rPr>
              <w:t>Present the final model, analysis, and actionable insights</w:t>
            </w:r>
          </w:p>
        </w:tc>
      </w:tr>
    </w:tbl>
    <w:p w14:paraId="41FC955F">
      <w:pPr>
        <w:spacing w:before="0" w:after="0"/>
        <w:rPr>
          <w:rFonts w:ascii="Arial" w:hAnsi="Arial" w:eastAsia="Arial" w:cs="Arial"/>
          <w:color w:val="auto"/>
        </w:rPr>
      </w:pPr>
    </w:p>
    <w:p w14:paraId="61111EC2">
      <w:pPr>
        <w:spacing w:before="0" w:after="0"/>
        <w:rPr>
          <w:rFonts w:ascii="Arial" w:hAnsi="Arial" w:eastAsia="Arial" w:cs="Arial"/>
          <w:color w:val="auto"/>
        </w:rPr>
      </w:pPr>
    </w:p>
    <w:p w14:paraId="469FF947">
      <w:pPr>
        <w:spacing w:before="0" w:after="160" w:line="259" w:lineRule="auto"/>
        <w:rPr>
          <w:color w:val="auto"/>
        </w:rPr>
      </w:pPr>
    </w:p>
    <w:p w14:paraId="58A1C324"/>
    <w:sectPr>
      <w:headerReference r:id="rId7" w:type="default"/>
      <w:footerReference r:id="rId8" w:type="default"/>
      <w:pgSz w:w="12240" w:h="15840"/>
      <w:pgMar w:top="2160" w:right="720" w:bottom="360" w:left="547" w:header="576" w:footer="432"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Gill Sans MT">
    <w:panose1 w:val="020B0502020104020203"/>
    <w:charset w:val="00"/>
    <w:family w:val="swiss"/>
    <w:pitch w:val="default"/>
    <w:sig w:usb0="00000003" w:usb1="00000000" w:usb2="00000000" w:usb3="00000000" w:csb0="20000003"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ystem-ui">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E7EC10">
    <w:pPr>
      <w:pStyle w:val="12"/>
    </w:pPr>
    <w:r>
      <w:tab/>
    </w: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0B690">
    <w:pPr>
      <w:pStyle w:val="12"/>
    </w:pPr>
    <w:r>
      <w:tab/>
    </w:r>
    <w:r>
      <w:fldChar w:fldCharType="begin"/>
    </w:r>
    <w:r>
      <w:instrText xml:space="preserve"> PAGE   \* MERGEFORMAT </w:instrText>
    </w:r>
    <w:r>
      <w:fldChar w:fldCharType="separate"/>
    </w:r>
    <w: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666D1">
    <w:pPr>
      <w:pStyle w:val="13"/>
      <w:rPr>
        <w:sz w:val="24"/>
        <w:szCs w:val="20"/>
      </w:rPr>
    </w:pPr>
    <w:r>
      <w:rPr>
        <w:rFonts w:eastAsiaTheme="majorEastAsia" w:cstheme="majorBidi"/>
        <w:bCs/>
        <w:spacing w:val="-10"/>
        <w:kern w:val="28"/>
        <w:lang w:val="en-US"/>
      </w:rPr>
      <w:t>OPTIMIZING</w:t>
    </w:r>
    <w:r>
      <w:rPr>
        <w:rFonts w:eastAsiaTheme="majorEastAsia" w:cstheme="majorBidi"/>
        <w:bCs/>
        <w:spacing w:val="-10"/>
        <w:kern w:val="28"/>
        <w:lang w:val="en-IN"/>
      </w:rPr>
      <w:t xml:space="preserve"> </w:t>
    </w:r>
    <w:r>
      <w:rPr>
        <w:rFonts w:hint="default" w:eastAsiaTheme="majorEastAsia" w:cstheme="majorBidi"/>
        <w:bCs/>
        <w:spacing w:val="-10"/>
        <w:kern w:val="28"/>
        <w:lang w:val="en-US"/>
      </w:rPr>
      <w:t xml:space="preserve"> </w:t>
    </w:r>
    <w:r>
      <w:rPr>
        <w:rFonts w:eastAsiaTheme="majorEastAsia" w:cstheme="majorBidi"/>
        <w:bCs/>
        <w:spacing w:val="-10"/>
        <w:kern w:val="28"/>
        <w:lang w:val="en-IN"/>
      </w:rPr>
      <w:t>Vehicle Choices: A Data-Driven Approach to Fuel Consumption and CO2 Emissions in Canada</w:t>
    </w:r>
  </w:p>
  <w:p w14:paraId="20F33832">
    <w:pPr>
      <w:pStyle w:val="54"/>
    </w:pPr>
    <w:r>
      <w:t>Project P</w:t>
    </w:r>
    <w:r>
      <w:rPr>
        <w:lang w:val="en-AU" w:eastAsia="en-AU"/>
      </w:rPr>
      <mc:AlternateContent>
        <mc:Choice Requires="wps">
          <w:drawing>
            <wp:anchor distT="45720" distB="45720" distL="114300" distR="114300" simplePos="0" relativeHeight="251659264" behindDoc="1" locked="0" layoutInCell="1" allowOverlap="1">
              <wp:simplePos x="0" y="0"/>
              <wp:positionH relativeFrom="page">
                <wp:posOffset>-1143000</wp:posOffset>
              </wp:positionH>
              <wp:positionV relativeFrom="page">
                <wp:posOffset>-635</wp:posOffset>
              </wp:positionV>
              <wp:extent cx="10058400" cy="1143000"/>
              <wp:effectExtent l="0" t="0" r="0" b="0"/>
              <wp:wrapNone/>
              <wp:docPr id="192" name="Text Box 2" descr="Decorative"/>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ln>
                    </wps:spPr>
                    <wps:txbx>
                      <w:txbxContent>
                        <w:p w14:paraId="3A8CAD10"/>
                      </w:txbxContent>
                    </wps:txbx>
                    <wps:bodyPr rot="0" vert="horz" wrap="square" lIns="720000" tIns="288000" rIns="91440" bIns="45720" anchor="ctr" anchorCtr="0">
                      <a:noAutofit/>
                    </wps:bodyPr>
                  </wps:wsp>
                </a:graphicData>
              </a:graphic>
            </wp:anchor>
          </w:drawing>
        </mc:Choice>
        <mc:Fallback>
          <w:pict>
            <v:shape id="Text Box 2" o:spid="_x0000_s1026" o:spt="202" alt="Decorative" type="#_x0000_t202" style="position:absolute;left:0pt;margin-left:-90pt;margin-top:-0.05pt;height:90pt;width:792pt;mso-position-horizontal-relative:page;mso-position-vertical-relative:page;z-index:-251657216;v-text-anchor:middle;mso-width-relative:page;mso-height-relative:page;" fillcolor="#F0CDA1" filled="t" stroked="f" coordsize="21600,21600" o:gfxdata="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jqjNdkAAAALAQAADwAAAAAA&#10;AAABACAAAAAiAAAAZHJzL2Rvd25yZXYueG1sUEsBAhQAFAAAAAgAh07iQH2uk1VLAgAAjQQAAA4A&#10;AAAAAAAAAQAgAAAAKAEAAGRycy9lMm9Eb2MueG1sUEsFBgAAAAAGAAYAWQEAAOUFAAAAAA==&#10;">
              <v:fill on="t" opacity="32768f" focussize="0,0"/>
              <v:stroke on="f" miterlimit="8" joinstyle="miter"/>
              <v:imagedata o:title=""/>
              <o:lock v:ext="edit" aspectratio="f"/>
              <v:textbox inset="20mm,8mm,2.54mm,1.27mm">
                <w:txbxContent>
                  <w:p w14:paraId="3A8CAD10"/>
                </w:txbxContent>
              </v:textbox>
            </v:shape>
          </w:pict>
        </mc:Fallback>
      </mc:AlternateContent>
    </w:r>
    <w:r>
      <w:t>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6425B">
    <w:pPr>
      <w:pStyle w:val="13"/>
      <w:spacing w:line="240" w:lineRule="auto"/>
      <w:rPr>
        <w:sz w:val="24"/>
        <w:szCs w:val="24"/>
      </w:rPr>
    </w:pPr>
    <w:r>
      <w:rPr>
        <w:lang w:val="en-AU" w:eastAsia="en-AU"/>
      </w:rPr>
      <mc:AlternateContent>
        <mc:Choice Requires="wps">
          <w:drawing>
            <wp:anchor distT="45720" distB="45720" distL="114300" distR="114300" simplePos="0" relativeHeight="251659264" behindDoc="1" locked="0" layoutInCell="1" allowOverlap="1">
              <wp:simplePos x="0" y="0"/>
              <wp:positionH relativeFrom="page">
                <wp:posOffset>-1158875</wp:posOffset>
              </wp:positionH>
              <wp:positionV relativeFrom="page">
                <wp:posOffset>0</wp:posOffset>
              </wp:positionV>
              <wp:extent cx="10090785" cy="1143000"/>
              <wp:effectExtent l="0" t="0" r="5715" b="0"/>
              <wp:wrapNone/>
              <wp:docPr id="4" name="Text Box 4" descr="Decorative"/>
              <wp:cNvGraphicFramePr/>
              <a:graphic xmlns:a="http://schemas.openxmlformats.org/drawingml/2006/main">
                <a:graphicData uri="http://schemas.microsoft.com/office/word/2010/wordprocessingShape">
                  <wps:wsp>
                    <wps:cNvSpPr txBox="1">
                      <a:spLocks noChangeArrowheads="1"/>
                    </wps:cNvSpPr>
                    <wps:spPr bwMode="auto">
                      <a:xfrm>
                        <a:off x="0" y="0"/>
                        <a:ext cx="10091057" cy="1143000"/>
                      </a:xfrm>
                      <a:prstGeom prst="rect">
                        <a:avLst/>
                      </a:prstGeom>
                      <a:solidFill>
                        <a:srgbClr val="F0CDA1">
                          <a:alpha val="50000"/>
                        </a:srgbClr>
                      </a:solidFill>
                      <a:ln w="9525">
                        <a:noFill/>
                        <a:miter lim="800000"/>
                      </a:ln>
                    </wps:spPr>
                    <wps:txbx>
                      <w:txbxContent>
                        <w:p w14:paraId="0F6CDFE0">
                          <w:pPr>
                            <w:pStyle w:val="54"/>
                          </w:pPr>
                        </w:p>
                      </w:txbxContent>
                    </wps:txbx>
                    <wps:bodyPr rot="0" vert="horz" wrap="square" lIns="720000" tIns="288000" rIns="91440" bIns="45720" anchor="ctr" anchorCtr="0">
                      <a:noAutofit/>
                    </wps:bodyPr>
                  </wps:wsp>
                </a:graphicData>
              </a:graphic>
            </wp:anchor>
          </w:drawing>
        </mc:Choice>
        <mc:Fallback>
          <w:pict>
            <v:shape id="_x0000_s1026" o:spid="_x0000_s1026" o:spt="202" alt="Decorative" type="#_x0000_t202" style="position:absolute;left:0pt;margin-left:-91.25pt;margin-top:0pt;height:90pt;width:794.55pt;mso-position-horizontal-relative:page;mso-position-vertical-relative:page;z-index:-251657216;v-text-anchor:middle;mso-width-relative:page;mso-height-relative:page;" fillcolor="#F0CDA1" filled="t" stroked="f" coordsize="21600,21600" o:gfxdata="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Fqla7YAAAACgEAAA8AAAAA&#10;AAAAAQAgAAAAIgAAAGRycy9kb3ducmV2LnhtbFBLAQIUABQAAAAIAIdO4kBDPsE8TQIAAIsEAAAO&#10;AAAAAAAAAAEAIAAAACcBAABkcnMvZTJvRG9jLnhtbFBLBQYAAAAABgAGAFkBAADmBQAAAAA=&#10;">
              <v:fill on="t" opacity="32768f" focussize="0,0"/>
              <v:stroke on="f" miterlimit="8" joinstyle="miter"/>
              <v:imagedata o:title=""/>
              <o:lock v:ext="edit" aspectratio="f"/>
              <v:textbox inset="20mm,8mm,2.54mm,1.27mm">
                <w:txbxContent>
                  <w:p w14:paraId="0F6CDFE0">
                    <w:pPr>
                      <w:pStyle w:val="54"/>
                    </w:pPr>
                  </w:p>
                </w:txbxContent>
              </v:textbox>
            </v:shape>
          </w:pict>
        </mc:Fallback>
      </mc:AlternateContent>
    </w:r>
    <w:r>
      <w:rPr>
        <w:rFonts w:eastAsiaTheme="majorEastAsia" w:cstheme="majorBidi"/>
        <w:spacing w:val="-10"/>
        <w:kern w:val="28"/>
        <w:lang w:val="en-IN"/>
      </w:rPr>
      <w:t xml:space="preserve">Optimizing </w:t>
    </w:r>
    <w:r>
      <w:rPr>
        <w:rFonts w:hint="default" w:eastAsiaTheme="majorEastAsia" w:cstheme="majorBidi"/>
        <w:spacing w:val="-10"/>
        <w:kern w:val="28"/>
        <w:lang w:val="en-US"/>
      </w:rPr>
      <w:t xml:space="preserve"> </w:t>
    </w:r>
    <w:r>
      <w:rPr>
        <w:rFonts w:eastAsiaTheme="majorEastAsia" w:cstheme="majorBidi"/>
        <w:spacing w:val="-10"/>
        <w:kern w:val="28"/>
        <w:lang w:val="en-IN"/>
      </w:rPr>
      <w:t>Vehicle Choices: A Data-Driven Approach to Fuel Consumption and CO2 Emissions in Canada</w:t>
    </w:r>
  </w:p>
  <w:p w14:paraId="4BFFB77F">
    <w:pPr>
      <w:pStyle w:val="13"/>
      <w:spacing w:line="240" w:lineRule="auto"/>
      <w:rPr>
        <w:rFonts w:asciiTheme="minorHAnsi" w:hAnsiTheme="minorHAnsi" w:cstheme="minorHAnsi"/>
        <w:b w:val="0"/>
        <w:bCs/>
        <w:i/>
        <w:iCs/>
        <w:color w:val="808080" w:themeColor="background1" w:themeShade="80"/>
        <w:sz w:val="24"/>
        <w:szCs w:val="24"/>
      </w:rPr>
    </w:pPr>
    <w:r>
      <w:rPr>
        <w:rFonts w:asciiTheme="minorHAnsi" w:hAnsiTheme="minorHAnsi" w:cstheme="minorHAnsi"/>
        <w:b w:val="0"/>
        <w:bCs/>
        <w:i/>
        <w:iCs/>
        <w:caps w:val="0"/>
        <w:color w:val="808080" w:themeColor="background1" w:themeShade="80"/>
        <w:sz w:val="24"/>
        <w:szCs w:val="24"/>
      </w:rPr>
      <w:t xml:space="preserve">Project Plan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3"/>
    <w:multiLevelType w:val="singleLevel"/>
    <w:tmpl w:val="FFFFFF83"/>
    <w:lvl w:ilvl="0" w:tentative="0">
      <w:start w:val="1"/>
      <w:numFmt w:val="bullet"/>
      <w:pStyle w:val="16"/>
      <w:lvlText w:val="o"/>
      <w:lvlJc w:val="left"/>
      <w:pPr>
        <w:ind w:left="720" w:hanging="360"/>
      </w:pPr>
      <w:rPr>
        <w:rFonts w:hint="default" w:ascii="Courier New" w:hAnsi="Courier New" w:cs="Courier New"/>
        <w:color w:val="107082" w:themeColor="accent2"/>
        <w14:textFill>
          <w14:solidFill>
            <w14:schemeClr w14:val="accent2"/>
          </w14:solidFill>
        </w14:textFill>
      </w:rPr>
    </w:lvl>
  </w:abstractNum>
  <w:abstractNum w:abstractNumId="1">
    <w:nsid w:val="010675B0"/>
    <w:multiLevelType w:val="multilevel"/>
    <w:tmpl w:val="010675B0"/>
    <w:lvl w:ilvl="0" w:tentative="0">
      <w:start w:val="1"/>
      <w:numFmt w:val="bullet"/>
      <w:pStyle w:val="51"/>
      <w:lvlText w:val=""/>
      <w:lvlJc w:val="left"/>
      <w:pPr>
        <w:ind w:left="720" w:hanging="360"/>
      </w:pPr>
      <w:rPr>
        <w:rFonts w:hint="default" w:ascii="Symbol" w:hAnsi="Symbol"/>
        <w:color w:val="107082" w:themeColor="accent2"/>
        <w:u w:color="F0CDA1" w:themeColor="accent1"/>
        <w14:textFill>
          <w14:solidFill>
            <w14:schemeClr w14:val="accent2"/>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21B0354"/>
    <w:multiLevelType w:val="multilevel"/>
    <w:tmpl w:val="021B0354"/>
    <w:lvl w:ilvl="0" w:tentative="0">
      <w:start w:val="1"/>
      <w:numFmt w:val="bullet"/>
      <w:pStyle w:val="50"/>
      <w:lvlText w:val=""/>
      <w:lvlJc w:val="left"/>
      <w:pPr>
        <w:ind w:left="360" w:hanging="360"/>
      </w:pPr>
      <w:rPr>
        <w:rFonts w:hint="default" w:ascii="Symbol" w:hAnsi="Symbol"/>
        <w:color w:val="595959" w:themeColor="text1" w:themeTint="A6"/>
        <w:u w:color="F0CDA1" w:themeColor="accent1"/>
        <w14:textFill>
          <w14:solidFill>
            <w14:schemeClr w14:val="tx1">
              <w14:lumMod w14:val="65000"/>
              <w14:lumOff w14:val="35000"/>
            </w14:schemeClr>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2F059C5"/>
    <w:multiLevelType w:val="multilevel"/>
    <w:tmpl w:val="02F059C5"/>
    <w:lvl w:ilvl="0" w:tentative="0">
      <w:start w:val="1"/>
      <w:numFmt w:val="bullet"/>
      <w:pStyle w:val="15"/>
      <w:lvlText w:val=""/>
      <w:lvlJc w:val="left"/>
      <w:pPr>
        <w:ind w:left="720" w:hanging="360"/>
      </w:pPr>
      <w:rPr>
        <w:rFonts w:hint="default" w:ascii="Symbol" w:hAnsi="Symbol"/>
        <w:color w:val="107082" w:themeColor="accent2"/>
        <w:u w:color="F0CDA1" w:themeColor="accent1"/>
        <w14:textFill>
          <w14:solidFill>
            <w14:schemeClr w14:val="accent2"/>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F643A5"/>
    <w:multiLevelType w:val="multilevel"/>
    <w:tmpl w:val="0DF643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A277AFC"/>
    <w:multiLevelType w:val="multilevel"/>
    <w:tmpl w:val="1A277AFC"/>
    <w:lvl w:ilvl="0" w:tentative="0">
      <w:start w:val="1"/>
      <w:numFmt w:val="bullet"/>
      <w:pStyle w:val="48"/>
      <w:lvlText w:val=""/>
      <w:lvlJc w:val="left"/>
      <w:pPr>
        <w:ind w:left="720" w:hanging="360"/>
      </w:pPr>
      <w:rPr>
        <w:rFonts w:hint="default" w:ascii="Symbol" w:hAnsi="Symbol"/>
        <w:color w:val="054854" w:themeColor="accent3"/>
        <w:u w:color="F0CDA1" w:themeColor="accent1"/>
        <w14:textFill>
          <w14:solidFill>
            <w14:schemeClr w14:val="accent3"/>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B7E56F6"/>
    <w:multiLevelType w:val="multilevel"/>
    <w:tmpl w:val="1B7E56F6"/>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73E1DC0"/>
    <w:multiLevelType w:val="multilevel"/>
    <w:tmpl w:val="273E1D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D9448EF"/>
    <w:multiLevelType w:val="multilevel"/>
    <w:tmpl w:val="2D9448EF"/>
    <w:lvl w:ilvl="0" w:tentative="0">
      <w:start w:val="1"/>
      <w:numFmt w:val="bullet"/>
      <w:pStyle w:val="49"/>
      <w:lvlText w:val=""/>
      <w:lvlJc w:val="left"/>
      <w:pPr>
        <w:ind w:left="360" w:hanging="360"/>
      </w:pPr>
      <w:rPr>
        <w:rFonts w:hint="default" w:ascii="Symbol" w:hAnsi="Symbol"/>
        <w:color w:val="77390A" w:themeColor="accent6" w:themeShade="80"/>
        <w:u w:color="F0CDA1" w:themeColor="accent1"/>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2A47860"/>
    <w:multiLevelType w:val="multilevel"/>
    <w:tmpl w:val="32A47860"/>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A450E5F"/>
    <w:multiLevelType w:val="multilevel"/>
    <w:tmpl w:val="4A450E5F"/>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05C2539"/>
    <w:multiLevelType w:val="multilevel"/>
    <w:tmpl w:val="505C253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28C1828"/>
    <w:multiLevelType w:val="multilevel"/>
    <w:tmpl w:val="528C1828"/>
    <w:lvl w:ilvl="0" w:tentative="0">
      <w:start w:val="1"/>
      <w:numFmt w:val="decimal"/>
      <w:pStyle w:val="17"/>
      <w:lvlText w:val="%1."/>
      <w:lvlJc w:val="left"/>
      <w:pPr>
        <w:ind w:left="720" w:hanging="360"/>
      </w:pPr>
      <w:rPr>
        <w:rFonts w:hint="default"/>
        <w:b/>
        <w:color w:val="107082" w:themeColor="accent2"/>
        <w:u w:color="F0CDA1" w:themeColor="accent1"/>
        <w14:textFill>
          <w14:solidFill>
            <w14:schemeClr w14:val="accent2"/>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4D95157"/>
    <w:multiLevelType w:val="multilevel"/>
    <w:tmpl w:val="54D9515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79B5E014"/>
    <w:multiLevelType w:val="multilevel"/>
    <w:tmpl w:val="79B5E0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7DB850F8"/>
    <w:multiLevelType w:val="multilevel"/>
    <w:tmpl w:val="7DB850F8"/>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12"/>
  </w:num>
  <w:num w:numId="4">
    <w:abstractNumId w:val="5"/>
  </w:num>
  <w:num w:numId="5">
    <w:abstractNumId w:val="8"/>
  </w:num>
  <w:num w:numId="6">
    <w:abstractNumId w:val="2"/>
  </w:num>
  <w:num w:numId="7">
    <w:abstractNumId w:val="1"/>
  </w:num>
  <w:num w:numId="8">
    <w:abstractNumId w:val="15"/>
  </w:num>
  <w:num w:numId="9">
    <w:abstractNumId w:val="14"/>
  </w:num>
  <w:num w:numId="10">
    <w:abstractNumId w:val="4"/>
  </w:num>
  <w:num w:numId="11">
    <w:abstractNumId w:val="7"/>
  </w:num>
  <w:num w:numId="12">
    <w:abstractNumId w:val="11"/>
  </w:num>
  <w:num w:numId="13">
    <w:abstractNumId w:val="6"/>
  </w:num>
  <w:num w:numId="14">
    <w:abstractNumId w:val="9"/>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5F9"/>
    <w:rsid w:val="0000092E"/>
    <w:rsid w:val="000030C7"/>
    <w:rsid w:val="00003CDE"/>
    <w:rsid w:val="0000540B"/>
    <w:rsid w:val="00010981"/>
    <w:rsid w:val="00011512"/>
    <w:rsid w:val="000123EF"/>
    <w:rsid w:val="00012A83"/>
    <w:rsid w:val="00014420"/>
    <w:rsid w:val="0001578A"/>
    <w:rsid w:val="000162BC"/>
    <w:rsid w:val="000170EC"/>
    <w:rsid w:val="00017125"/>
    <w:rsid w:val="00017C3C"/>
    <w:rsid w:val="00017F9D"/>
    <w:rsid w:val="0002137D"/>
    <w:rsid w:val="00021F2E"/>
    <w:rsid w:val="00024084"/>
    <w:rsid w:val="00026326"/>
    <w:rsid w:val="00026C97"/>
    <w:rsid w:val="00026EAE"/>
    <w:rsid w:val="000270E2"/>
    <w:rsid w:val="0003025C"/>
    <w:rsid w:val="00031221"/>
    <w:rsid w:val="0003123C"/>
    <w:rsid w:val="00031340"/>
    <w:rsid w:val="00032A10"/>
    <w:rsid w:val="00032C80"/>
    <w:rsid w:val="000338D9"/>
    <w:rsid w:val="00033DC1"/>
    <w:rsid w:val="000377FD"/>
    <w:rsid w:val="00041CC7"/>
    <w:rsid w:val="0004247F"/>
    <w:rsid w:val="00043FFE"/>
    <w:rsid w:val="00044074"/>
    <w:rsid w:val="0004430C"/>
    <w:rsid w:val="000444FE"/>
    <w:rsid w:val="00052250"/>
    <w:rsid w:val="00055B47"/>
    <w:rsid w:val="00057609"/>
    <w:rsid w:val="00057D70"/>
    <w:rsid w:val="000632C7"/>
    <w:rsid w:val="000633B9"/>
    <w:rsid w:val="0006444F"/>
    <w:rsid w:val="00064E21"/>
    <w:rsid w:val="00066DE2"/>
    <w:rsid w:val="00070977"/>
    <w:rsid w:val="00070B22"/>
    <w:rsid w:val="00073502"/>
    <w:rsid w:val="000747AB"/>
    <w:rsid w:val="000749B7"/>
    <w:rsid w:val="00077931"/>
    <w:rsid w:val="000801DF"/>
    <w:rsid w:val="00083B98"/>
    <w:rsid w:val="00083EFC"/>
    <w:rsid w:val="00084E91"/>
    <w:rsid w:val="00086DC8"/>
    <w:rsid w:val="000900AA"/>
    <w:rsid w:val="000900B6"/>
    <w:rsid w:val="00090896"/>
    <w:rsid w:val="0009215E"/>
    <w:rsid w:val="00094471"/>
    <w:rsid w:val="00094CA4"/>
    <w:rsid w:val="00095C17"/>
    <w:rsid w:val="00096AD7"/>
    <w:rsid w:val="00097A09"/>
    <w:rsid w:val="000A1F1D"/>
    <w:rsid w:val="000A22FD"/>
    <w:rsid w:val="000A3384"/>
    <w:rsid w:val="000A649E"/>
    <w:rsid w:val="000A6849"/>
    <w:rsid w:val="000A7626"/>
    <w:rsid w:val="000B0322"/>
    <w:rsid w:val="000B160D"/>
    <w:rsid w:val="000B20E7"/>
    <w:rsid w:val="000B2A23"/>
    <w:rsid w:val="000B3E74"/>
    <w:rsid w:val="000B4B16"/>
    <w:rsid w:val="000B5DA2"/>
    <w:rsid w:val="000B67EB"/>
    <w:rsid w:val="000B6A7B"/>
    <w:rsid w:val="000B75A2"/>
    <w:rsid w:val="000B77F4"/>
    <w:rsid w:val="000B7C9B"/>
    <w:rsid w:val="000C182D"/>
    <w:rsid w:val="000C1C28"/>
    <w:rsid w:val="000C4DEA"/>
    <w:rsid w:val="000C4FE9"/>
    <w:rsid w:val="000C5872"/>
    <w:rsid w:val="000C7323"/>
    <w:rsid w:val="000D7238"/>
    <w:rsid w:val="000D7E53"/>
    <w:rsid w:val="000E0979"/>
    <w:rsid w:val="000E1544"/>
    <w:rsid w:val="000E2D5B"/>
    <w:rsid w:val="000E3B9D"/>
    <w:rsid w:val="000E3C4A"/>
    <w:rsid w:val="000E48A9"/>
    <w:rsid w:val="000E50C2"/>
    <w:rsid w:val="000E7E7F"/>
    <w:rsid w:val="000F0E6F"/>
    <w:rsid w:val="000F1FE7"/>
    <w:rsid w:val="000F56BD"/>
    <w:rsid w:val="000F7237"/>
    <w:rsid w:val="001003F4"/>
    <w:rsid w:val="00101311"/>
    <w:rsid w:val="001014ED"/>
    <w:rsid w:val="00102534"/>
    <w:rsid w:val="001037C4"/>
    <w:rsid w:val="00104A1E"/>
    <w:rsid w:val="0010523E"/>
    <w:rsid w:val="00107A7C"/>
    <w:rsid w:val="0011072C"/>
    <w:rsid w:val="001117F3"/>
    <w:rsid w:val="0011379F"/>
    <w:rsid w:val="00114F7F"/>
    <w:rsid w:val="001155CE"/>
    <w:rsid w:val="00116672"/>
    <w:rsid w:val="001167BD"/>
    <w:rsid w:val="00117461"/>
    <w:rsid w:val="001203C7"/>
    <w:rsid w:val="00121970"/>
    <w:rsid w:val="00121D13"/>
    <w:rsid w:val="00122100"/>
    <w:rsid w:val="00122387"/>
    <w:rsid w:val="001225D9"/>
    <w:rsid w:val="00123F18"/>
    <w:rsid w:val="00124370"/>
    <w:rsid w:val="00124F88"/>
    <w:rsid w:val="00125411"/>
    <w:rsid w:val="001259EB"/>
    <w:rsid w:val="00127E6D"/>
    <w:rsid w:val="00130ED9"/>
    <w:rsid w:val="00130FA3"/>
    <w:rsid w:val="001317D6"/>
    <w:rsid w:val="00134D2F"/>
    <w:rsid w:val="001358B0"/>
    <w:rsid w:val="0013770E"/>
    <w:rsid w:val="00137B63"/>
    <w:rsid w:val="001407B1"/>
    <w:rsid w:val="00140C1D"/>
    <w:rsid w:val="00140C44"/>
    <w:rsid w:val="00141B1F"/>
    <w:rsid w:val="00141E69"/>
    <w:rsid w:val="00143200"/>
    <w:rsid w:val="00143472"/>
    <w:rsid w:val="00143DA5"/>
    <w:rsid w:val="001455C0"/>
    <w:rsid w:val="0014650A"/>
    <w:rsid w:val="00147DD2"/>
    <w:rsid w:val="00150044"/>
    <w:rsid w:val="00150865"/>
    <w:rsid w:val="00150B7C"/>
    <w:rsid w:val="00151AFC"/>
    <w:rsid w:val="001540DE"/>
    <w:rsid w:val="0015489D"/>
    <w:rsid w:val="00154F02"/>
    <w:rsid w:val="001550AD"/>
    <w:rsid w:val="00155744"/>
    <w:rsid w:val="00160392"/>
    <w:rsid w:val="00160CF3"/>
    <w:rsid w:val="00161EFE"/>
    <w:rsid w:val="001627D5"/>
    <w:rsid w:val="0016323F"/>
    <w:rsid w:val="001634B4"/>
    <w:rsid w:val="00164A5B"/>
    <w:rsid w:val="001664C1"/>
    <w:rsid w:val="00167FEF"/>
    <w:rsid w:val="00170B87"/>
    <w:rsid w:val="001743B2"/>
    <w:rsid w:val="00175187"/>
    <w:rsid w:val="0017641F"/>
    <w:rsid w:val="00180081"/>
    <w:rsid w:val="00180F04"/>
    <w:rsid w:val="00180F4D"/>
    <w:rsid w:val="001825A9"/>
    <w:rsid w:val="00183A4F"/>
    <w:rsid w:val="00184731"/>
    <w:rsid w:val="0018595E"/>
    <w:rsid w:val="00186523"/>
    <w:rsid w:val="001865A3"/>
    <w:rsid w:val="00193013"/>
    <w:rsid w:val="0019571A"/>
    <w:rsid w:val="00195FF8"/>
    <w:rsid w:val="001A06CF"/>
    <w:rsid w:val="001A35F2"/>
    <w:rsid w:val="001A5303"/>
    <w:rsid w:val="001A5429"/>
    <w:rsid w:val="001A5BEA"/>
    <w:rsid w:val="001A7547"/>
    <w:rsid w:val="001A7C1A"/>
    <w:rsid w:val="001A7EBE"/>
    <w:rsid w:val="001B06F3"/>
    <w:rsid w:val="001B071A"/>
    <w:rsid w:val="001B1422"/>
    <w:rsid w:val="001B1E80"/>
    <w:rsid w:val="001B4D4A"/>
    <w:rsid w:val="001B4F72"/>
    <w:rsid w:val="001B4FBB"/>
    <w:rsid w:val="001B797B"/>
    <w:rsid w:val="001C0FE2"/>
    <w:rsid w:val="001C155D"/>
    <w:rsid w:val="001C3840"/>
    <w:rsid w:val="001C4133"/>
    <w:rsid w:val="001C416C"/>
    <w:rsid w:val="001C4404"/>
    <w:rsid w:val="001C4901"/>
    <w:rsid w:val="001C5D43"/>
    <w:rsid w:val="001C6304"/>
    <w:rsid w:val="001C6631"/>
    <w:rsid w:val="001C687A"/>
    <w:rsid w:val="001C7621"/>
    <w:rsid w:val="001D0118"/>
    <w:rsid w:val="001D1456"/>
    <w:rsid w:val="001D1C22"/>
    <w:rsid w:val="001D208E"/>
    <w:rsid w:val="001D2B0A"/>
    <w:rsid w:val="001D2F76"/>
    <w:rsid w:val="001D6070"/>
    <w:rsid w:val="001D71C4"/>
    <w:rsid w:val="001D776D"/>
    <w:rsid w:val="001D7B35"/>
    <w:rsid w:val="001D7F3B"/>
    <w:rsid w:val="001E11F1"/>
    <w:rsid w:val="001E183E"/>
    <w:rsid w:val="001E1E58"/>
    <w:rsid w:val="001E3E79"/>
    <w:rsid w:val="001E4832"/>
    <w:rsid w:val="001F00D4"/>
    <w:rsid w:val="001F0F2B"/>
    <w:rsid w:val="001F3174"/>
    <w:rsid w:val="001F411C"/>
    <w:rsid w:val="001F6318"/>
    <w:rsid w:val="001F7071"/>
    <w:rsid w:val="001F761F"/>
    <w:rsid w:val="001F7894"/>
    <w:rsid w:val="00200D3C"/>
    <w:rsid w:val="002019A4"/>
    <w:rsid w:val="00204500"/>
    <w:rsid w:val="002045F9"/>
    <w:rsid w:val="00206719"/>
    <w:rsid w:val="0020688C"/>
    <w:rsid w:val="00210361"/>
    <w:rsid w:val="0021180C"/>
    <w:rsid w:val="002145FC"/>
    <w:rsid w:val="00221A49"/>
    <w:rsid w:val="002232F7"/>
    <w:rsid w:val="00224C04"/>
    <w:rsid w:val="00224EC8"/>
    <w:rsid w:val="00225CFB"/>
    <w:rsid w:val="0022763D"/>
    <w:rsid w:val="002352D1"/>
    <w:rsid w:val="00237C64"/>
    <w:rsid w:val="00240312"/>
    <w:rsid w:val="00240CB3"/>
    <w:rsid w:val="00240F5E"/>
    <w:rsid w:val="002413D5"/>
    <w:rsid w:val="00244B74"/>
    <w:rsid w:val="00245877"/>
    <w:rsid w:val="00246CEF"/>
    <w:rsid w:val="00247B17"/>
    <w:rsid w:val="00252B0B"/>
    <w:rsid w:val="00252E4A"/>
    <w:rsid w:val="00253EB3"/>
    <w:rsid w:val="00254C9A"/>
    <w:rsid w:val="00255A54"/>
    <w:rsid w:val="00255CAE"/>
    <w:rsid w:val="00256137"/>
    <w:rsid w:val="00257EA4"/>
    <w:rsid w:val="00260276"/>
    <w:rsid w:val="002618A3"/>
    <w:rsid w:val="00261DFE"/>
    <w:rsid w:val="0026342C"/>
    <w:rsid w:val="00263A7C"/>
    <w:rsid w:val="002642A8"/>
    <w:rsid w:val="00264FC7"/>
    <w:rsid w:val="00265388"/>
    <w:rsid w:val="00270B9E"/>
    <w:rsid w:val="002739E2"/>
    <w:rsid w:val="00273F40"/>
    <w:rsid w:val="00277094"/>
    <w:rsid w:val="0027711C"/>
    <w:rsid w:val="00277382"/>
    <w:rsid w:val="00280D75"/>
    <w:rsid w:val="00283292"/>
    <w:rsid w:val="002840E0"/>
    <w:rsid w:val="00284AF3"/>
    <w:rsid w:val="00285050"/>
    <w:rsid w:val="00285681"/>
    <w:rsid w:val="002860B3"/>
    <w:rsid w:val="00286C4A"/>
    <w:rsid w:val="0029072E"/>
    <w:rsid w:val="00292688"/>
    <w:rsid w:val="00292EDC"/>
    <w:rsid w:val="00292FB6"/>
    <w:rsid w:val="00294BD7"/>
    <w:rsid w:val="00294C79"/>
    <w:rsid w:val="002A0C74"/>
    <w:rsid w:val="002A137B"/>
    <w:rsid w:val="002A1600"/>
    <w:rsid w:val="002A2D05"/>
    <w:rsid w:val="002A3327"/>
    <w:rsid w:val="002A383B"/>
    <w:rsid w:val="002A517D"/>
    <w:rsid w:val="002A52F3"/>
    <w:rsid w:val="002B0B6C"/>
    <w:rsid w:val="002B13A5"/>
    <w:rsid w:val="002B2607"/>
    <w:rsid w:val="002B3B8D"/>
    <w:rsid w:val="002B4179"/>
    <w:rsid w:val="002B46A8"/>
    <w:rsid w:val="002B4AE3"/>
    <w:rsid w:val="002B4E91"/>
    <w:rsid w:val="002B50CF"/>
    <w:rsid w:val="002B6217"/>
    <w:rsid w:val="002B7288"/>
    <w:rsid w:val="002C05EA"/>
    <w:rsid w:val="002C17BF"/>
    <w:rsid w:val="002C28AB"/>
    <w:rsid w:val="002C5BA6"/>
    <w:rsid w:val="002D27B7"/>
    <w:rsid w:val="002D4161"/>
    <w:rsid w:val="002D4649"/>
    <w:rsid w:val="002D47F9"/>
    <w:rsid w:val="002D5B7E"/>
    <w:rsid w:val="002D638D"/>
    <w:rsid w:val="002E2B07"/>
    <w:rsid w:val="002E34E4"/>
    <w:rsid w:val="002E45DE"/>
    <w:rsid w:val="002E5E08"/>
    <w:rsid w:val="002F207D"/>
    <w:rsid w:val="002F2D24"/>
    <w:rsid w:val="002F3BE5"/>
    <w:rsid w:val="002F4E43"/>
    <w:rsid w:val="002F5D91"/>
    <w:rsid w:val="002F5D9E"/>
    <w:rsid w:val="00301572"/>
    <w:rsid w:val="00301827"/>
    <w:rsid w:val="00305E74"/>
    <w:rsid w:val="003060F0"/>
    <w:rsid w:val="003072B4"/>
    <w:rsid w:val="00307463"/>
    <w:rsid w:val="00307C5F"/>
    <w:rsid w:val="00310710"/>
    <w:rsid w:val="0031130D"/>
    <w:rsid w:val="00311FE7"/>
    <w:rsid w:val="00312A0B"/>
    <w:rsid w:val="00314A6F"/>
    <w:rsid w:val="003154F9"/>
    <w:rsid w:val="0031555F"/>
    <w:rsid w:val="00316047"/>
    <w:rsid w:val="00316335"/>
    <w:rsid w:val="00317B46"/>
    <w:rsid w:val="0032023A"/>
    <w:rsid w:val="003202BA"/>
    <w:rsid w:val="00321963"/>
    <w:rsid w:val="003237D8"/>
    <w:rsid w:val="00323947"/>
    <w:rsid w:val="00323B7F"/>
    <w:rsid w:val="0032475F"/>
    <w:rsid w:val="00332248"/>
    <w:rsid w:val="00332C3F"/>
    <w:rsid w:val="00333FE2"/>
    <w:rsid w:val="00334394"/>
    <w:rsid w:val="00335474"/>
    <w:rsid w:val="003358A7"/>
    <w:rsid w:val="00336545"/>
    <w:rsid w:val="00341E17"/>
    <w:rsid w:val="00343C89"/>
    <w:rsid w:val="00347789"/>
    <w:rsid w:val="00347AF5"/>
    <w:rsid w:val="003534AC"/>
    <w:rsid w:val="003535E0"/>
    <w:rsid w:val="003554C1"/>
    <w:rsid w:val="00355570"/>
    <w:rsid w:val="00356E43"/>
    <w:rsid w:val="00357213"/>
    <w:rsid w:val="0035732B"/>
    <w:rsid w:val="00360F98"/>
    <w:rsid w:val="00362478"/>
    <w:rsid w:val="00364DC6"/>
    <w:rsid w:val="00367A89"/>
    <w:rsid w:val="00371640"/>
    <w:rsid w:val="003721DF"/>
    <w:rsid w:val="00373024"/>
    <w:rsid w:val="00374421"/>
    <w:rsid w:val="00376936"/>
    <w:rsid w:val="00382CF8"/>
    <w:rsid w:val="00385AC8"/>
    <w:rsid w:val="003900B9"/>
    <w:rsid w:val="00391150"/>
    <w:rsid w:val="00393D56"/>
    <w:rsid w:val="0039498E"/>
    <w:rsid w:val="00397B22"/>
    <w:rsid w:val="003A38CD"/>
    <w:rsid w:val="003A3C82"/>
    <w:rsid w:val="003A3F02"/>
    <w:rsid w:val="003A5EDA"/>
    <w:rsid w:val="003B007D"/>
    <w:rsid w:val="003B0345"/>
    <w:rsid w:val="003B226E"/>
    <w:rsid w:val="003B55E8"/>
    <w:rsid w:val="003B5758"/>
    <w:rsid w:val="003B6420"/>
    <w:rsid w:val="003B680C"/>
    <w:rsid w:val="003B6970"/>
    <w:rsid w:val="003B7F68"/>
    <w:rsid w:val="003C020B"/>
    <w:rsid w:val="003C0E9B"/>
    <w:rsid w:val="003C0FA3"/>
    <w:rsid w:val="003C1307"/>
    <w:rsid w:val="003C2731"/>
    <w:rsid w:val="003C5F77"/>
    <w:rsid w:val="003C6107"/>
    <w:rsid w:val="003D04F0"/>
    <w:rsid w:val="003D1482"/>
    <w:rsid w:val="003D1541"/>
    <w:rsid w:val="003D22A4"/>
    <w:rsid w:val="003D22C1"/>
    <w:rsid w:val="003D2D13"/>
    <w:rsid w:val="003D3064"/>
    <w:rsid w:val="003D5295"/>
    <w:rsid w:val="003D59A7"/>
    <w:rsid w:val="003D62F8"/>
    <w:rsid w:val="003E0193"/>
    <w:rsid w:val="003E288F"/>
    <w:rsid w:val="003E3431"/>
    <w:rsid w:val="003E3462"/>
    <w:rsid w:val="003E5567"/>
    <w:rsid w:val="003E5AF1"/>
    <w:rsid w:val="003E6B16"/>
    <w:rsid w:val="003E78A7"/>
    <w:rsid w:val="003F0714"/>
    <w:rsid w:val="003F0D0F"/>
    <w:rsid w:val="003F13B0"/>
    <w:rsid w:val="003F14EB"/>
    <w:rsid w:val="003F3007"/>
    <w:rsid w:val="003F5135"/>
    <w:rsid w:val="003F5F4A"/>
    <w:rsid w:val="003F6310"/>
    <w:rsid w:val="003F7989"/>
    <w:rsid w:val="0040091F"/>
    <w:rsid w:val="004019FA"/>
    <w:rsid w:val="00403423"/>
    <w:rsid w:val="00404C6F"/>
    <w:rsid w:val="004057E6"/>
    <w:rsid w:val="00410B50"/>
    <w:rsid w:val="0041124D"/>
    <w:rsid w:val="0041142A"/>
    <w:rsid w:val="004133B1"/>
    <w:rsid w:val="00413EA4"/>
    <w:rsid w:val="00415357"/>
    <w:rsid w:val="0041551A"/>
    <w:rsid w:val="004168D7"/>
    <w:rsid w:val="00416EF6"/>
    <w:rsid w:val="00424C5F"/>
    <w:rsid w:val="004262DD"/>
    <w:rsid w:val="0042646F"/>
    <w:rsid w:val="00430DED"/>
    <w:rsid w:val="0043188A"/>
    <w:rsid w:val="00432F2E"/>
    <w:rsid w:val="0043353C"/>
    <w:rsid w:val="00433717"/>
    <w:rsid w:val="00435096"/>
    <w:rsid w:val="00436347"/>
    <w:rsid w:val="00436701"/>
    <w:rsid w:val="00436920"/>
    <w:rsid w:val="0044066A"/>
    <w:rsid w:val="00440BF7"/>
    <w:rsid w:val="004411FB"/>
    <w:rsid w:val="00441AC9"/>
    <w:rsid w:val="004421AC"/>
    <w:rsid w:val="00443212"/>
    <w:rsid w:val="00443D16"/>
    <w:rsid w:val="00445345"/>
    <w:rsid w:val="004463A4"/>
    <w:rsid w:val="00446CC0"/>
    <w:rsid w:val="00451555"/>
    <w:rsid w:val="00452C38"/>
    <w:rsid w:val="00453D7B"/>
    <w:rsid w:val="00456918"/>
    <w:rsid w:val="004571E4"/>
    <w:rsid w:val="0045737E"/>
    <w:rsid w:val="004579CD"/>
    <w:rsid w:val="00460E56"/>
    <w:rsid w:val="0046114A"/>
    <w:rsid w:val="00461BB7"/>
    <w:rsid w:val="004622C9"/>
    <w:rsid w:val="0046262B"/>
    <w:rsid w:val="00463CFC"/>
    <w:rsid w:val="004650B6"/>
    <w:rsid w:val="00467815"/>
    <w:rsid w:val="00467DDC"/>
    <w:rsid w:val="0047108B"/>
    <w:rsid w:val="0047122C"/>
    <w:rsid w:val="00471D61"/>
    <w:rsid w:val="00472195"/>
    <w:rsid w:val="00473E0B"/>
    <w:rsid w:val="0047665F"/>
    <w:rsid w:val="00477DEF"/>
    <w:rsid w:val="004813AA"/>
    <w:rsid w:val="0048170F"/>
    <w:rsid w:val="00481964"/>
    <w:rsid w:val="00481B12"/>
    <w:rsid w:val="00482143"/>
    <w:rsid w:val="004821E1"/>
    <w:rsid w:val="00483984"/>
    <w:rsid w:val="0048412C"/>
    <w:rsid w:val="00485829"/>
    <w:rsid w:val="00491CF0"/>
    <w:rsid w:val="004927C8"/>
    <w:rsid w:val="00492DD0"/>
    <w:rsid w:val="00493EC0"/>
    <w:rsid w:val="0049500E"/>
    <w:rsid w:val="00495909"/>
    <w:rsid w:val="00495E15"/>
    <w:rsid w:val="004963B5"/>
    <w:rsid w:val="00496614"/>
    <w:rsid w:val="004A0A18"/>
    <w:rsid w:val="004A0E32"/>
    <w:rsid w:val="004A1BCE"/>
    <w:rsid w:val="004A3F9A"/>
    <w:rsid w:val="004A4531"/>
    <w:rsid w:val="004A529D"/>
    <w:rsid w:val="004A6DF1"/>
    <w:rsid w:val="004B0FFA"/>
    <w:rsid w:val="004B3C2E"/>
    <w:rsid w:val="004B407E"/>
    <w:rsid w:val="004B5251"/>
    <w:rsid w:val="004B6133"/>
    <w:rsid w:val="004B692F"/>
    <w:rsid w:val="004B6A21"/>
    <w:rsid w:val="004B701A"/>
    <w:rsid w:val="004B74E4"/>
    <w:rsid w:val="004B7548"/>
    <w:rsid w:val="004C13D5"/>
    <w:rsid w:val="004C2451"/>
    <w:rsid w:val="004C712C"/>
    <w:rsid w:val="004C734F"/>
    <w:rsid w:val="004C74A4"/>
    <w:rsid w:val="004C7B3E"/>
    <w:rsid w:val="004C7E31"/>
    <w:rsid w:val="004D23AA"/>
    <w:rsid w:val="004D2F36"/>
    <w:rsid w:val="004D3857"/>
    <w:rsid w:val="004E01E1"/>
    <w:rsid w:val="004E18AF"/>
    <w:rsid w:val="004E1D03"/>
    <w:rsid w:val="004E388B"/>
    <w:rsid w:val="004E4F67"/>
    <w:rsid w:val="004E5D05"/>
    <w:rsid w:val="004E5F75"/>
    <w:rsid w:val="004F1E01"/>
    <w:rsid w:val="004F63F1"/>
    <w:rsid w:val="004F7BFE"/>
    <w:rsid w:val="00500181"/>
    <w:rsid w:val="00501FFE"/>
    <w:rsid w:val="00506F8E"/>
    <w:rsid w:val="0051137A"/>
    <w:rsid w:val="00511D59"/>
    <w:rsid w:val="00512791"/>
    <w:rsid w:val="00512D1E"/>
    <w:rsid w:val="00513550"/>
    <w:rsid w:val="00513832"/>
    <w:rsid w:val="00513E5A"/>
    <w:rsid w:val="005208BC"/>
    <w:rsid w:val="005216C2"/>
    <w:rsid w:val="00522CA8"/>
    <w:rsid w:val="00522DAA"/>
    <w:rsid w:val="00523077"/>
    <w:rsid w:val="0052420E"/>
    <w:rsid w:val="00525DBF"/>
    <w:rsid w:val="00526C37"/>
    <w:rsid w:val="00526E2B"/>
    <w:rsid w:val="005270C8"/>
    <w:rsid w:val="005273B5"/>
    <w:rsid w:val="005313AA"/>
    <w:rsid w:val="005318E9"/>
    <w:rsid w:val="00533047"/>
    <w:rsid w:val="00533E09"/>
    <w:rsid w:val="005347BF"/>
    <w:rsid w:val="00534F0B"/>
    <w:rsid w:val="00535078"/>
    <w:rsid w:val="005423BC"/>
    <w:rsid w:val="00545148"/>
    <w:rsid w:val="00545DE0"/>
    <w:rsid w:val="00545E9F"/>
    <w:rsid w:val="00546376"/>
    <w:rsid w:val="0055263A"/>
    <w:rsid w:val="00554B7E"/>
    <w:rsid w:val="0055572F"/>
    <w:rsid w:val="005624A3"/>
    <w:rsid w:val="0056270E"/>
    <w:rsid w:val="00570032"/>
    <w:rsid w:val="00572894"/>
    <w:rsid w:val="00573E90"/>
    <w:rsid w:val="00575458"/>
    <w:rsid w:val="0057677D"/>
    <w:rsid w:val="005771FB"/>
    <w:rsid w:val="00577B45"/>
    <w:rsid w:val="00580E76"/>
    <w:rsid w:val="00580F8F"/>
    <w:rsid w:val="00581A31"/>
    <w:rsid w:val="005828CC"/>
    <w:rsid w:val="00582950"/>
    <w:rsid w:val="00583706"/>
    <w:rsid w:val="0058397A"/>
    <w:rsid w:val="00587A4D"/>
    <w:rsid w:val="00587F14"/>
    <w:rsid w:val="0059189D"/>
    <w:rsid w:val="005919AF"/>
    <w:rsid w:val="0059232B"/>
    <w:rsid w:val="00592EF3"/>
    <w:rsid w:val="00594449"/>
    <w:rsid w:val="005A07DB"/>
    <w:rsid w:val="005A20E2"/>
    <w:rsid w:val="005A4D8C"/>
    <w:rsid w:val="005A547C"/>
    <w:rsid w:val="005A55E6"/>
    <w:rsid w:val="005A6024"/>
    <w:rsid w:val="005A6DD0"/>
    <w:rsid w:val="005B1000"/>
    <w:rsid w:val="005B1460"/>
    <w:rsid w:val="005B1496"/>
    <w:rsid w:val="005B169C"/>
    <w:rsid w:val="005B1AA4"/>
    <w:rsid w:val="005B3C9D"/>
    <w:rsid w:val="005B44D2"/>
    <w:rsid w:val="005B5684"/>
    <w:rsid w:val="005B6A1A"/>
    <w:rsid w:val="005B6E05"/>
    <w:rsid w:val="005C1FD9"/>
    <w:rsid w:val="005C2376"/>
    <w:rsid w:val="005C458D"/>
    <w:rsid w:val="005C5230"/>
    <w:rsid w:val="005D14CC"/>
    <w:rsid w:val="005D19C8"/>
    <w:rsid w:val="005D2146"/>
    <w:rsid w:val="005D265C"/>
    <w:rsid w:val="005D3D8A"/>
    <w:rsid w:val="005D3D97"/>
    <w:rsid w:val="005D5AD7"/>
    <w:rsid w:val="005D6491"/>
    <w:rsid w:val="005D6B46"/>
    <w:rsid w:val="005D73B3"/>
    <w:rsid w:val="005E11C3"/>
    <w:rsid w:val="005E32E8"/>
    <w:rsid w:val="005E536E"/>
    <w:rsid w:val="005E5CE9"/>
    <w:rsid w:val="005F0AC1"/>
    <w:rsid w:val="005F1065"/>
    <w:rsid w:val="005F6388"/>
    <w:rsid w:val="00602097"/>
    <w:rsid w:val="00602AF6"/>
    <w:rsid w:val="00603154"/>
    <w:rsid w:val="00604199"/>
    <w:rsid w:val="006046F2"/>
    <w:rsid w:val="006071BD"/>
    <w:rsid w:val="00607968"/>
    <w:rsid w:val="00613CD3"/>
    <w:rsid w:val="00615EDF"/>
    <w:rsid w:val="00616B87"/>
    <w:rsid w:val="0062033F"/>
    <w:rsid w:val="0062079B"/>
    <w:rsid w:val="00621F6D"/>
    <w:rsid w:val="00623B4C"/>
    <w:rsid w:val="0062455F"/>
    <w:rsid w:val="00624D7B"/>
    <w:rsid w:val="00625C9E"/>
    <w:rsid w:val="006265AF"/>
    <w:rsid w:val="00631B0C"/>
    <w:rsid w:val="00631DE9"/>
    <w:rsid w:val="006329E1"/>
    <w:rsid w:val="00633E73"/>
    <w:rsid w:val="0063436F"/>
    <w:rsid w:val="006413DA"/>
    <w:rsid w:val="006414B9"/>
    <w:rsid w:val="00643BE0"/>
    <w:rsid w:val="006442C3"/>
    <w:rsid w:val="00644797"/>
    <w:rsid w:val="00644ADE"/>
    <w:rsid w:val="00647D7B"/>
    <w:rsid w:val="006503A3"/>
    <w:rsid w:val="006526C8"/>
    <w:rsid w:val="00653D23"/>
    <w:rsid w:val="0065474F"/>
    <w:rsid w:val="00655308"/>
    <w:rsid w:val="00657790"/>
    <w:rsid w:val="00657F76"/>
    <w:rsid w:val="00660F75"/>
    <w:rsid w:val="006617EF"/>
    <w:rsid w:val="006624DB"/>
    <w:rsid w:val="0066276B"/>
    <w:rsid w:val="00662B1C"/>
    <w:rsid w:val="00664450"/>
    <w:rsid w:val="00670747"/>
    <w:rsid w:val="006716BA"/>
    <w:rsid w:val="0067374B"/>
    <w:rsid w:val="00676E40"/>
    <w:rsid w:val="00680390"/>
    <w:rsid w:val="006860B0"/>
    <w:rsid w:val="00690992"/>
    <w:rsid w:val="006910E9"/>
    <w:rsid w:val="006936EB"/>
    <w:rsid w:val="00693AF7"/>
    <w:rsid w:val="0069474D"/>
    <w:rsid w:val="006956CD"/>
    <w:rsid w:val="006965E2"/>
    <w:rsid w:val="006A00DE"/>
    <w:rsid w:val="006A1035"/>
    <w:rsid w:val="006A377C"/>
    <w:rsid w:val="006A6254"/>
    <w:rsid w:val="006A6293"/>
    <w:rsid w:val="006A674D"/>
    <w:rsid w:val="006A6D11"/>
    <w:rsid w:val="006B09F5"/>
    <w:rsid w:val="006B21A6"/>
    <w:rsid w:val="006B2383"/>
    <w:rsid w:val="006B38EB"/>
    <w:rsid w:val="006B564E"/>
    <w:rsid w:val="006B5696"/>
    <w:rsid w:val="006C0724"/>
    <w:rsid w:val="006C39E1"/>
    <w:rsid w:val="006C3CDC"/>
    <w:rsid w:val="006C4410"/>
    <w:rsid w:val="006C478F"/>
    <w:rsid w:val="006C499A"/>
    <w:rsid w:val="006C4F94"/>
    <w:rsid w:val="006C5373"/>
    <w:rsid w:val="006D0070"/>
    <w:rsid w:val="006D0144"/>
    <w:rsid w:val="006D046C"/>
    <w:rsid w:val="006D4CD2"/>
    <w:rsid w:val="006D5D7D"/>
    <w:rsid w:val="006D6762"/>
    <w:rsid w:val="006D6F61"/>
    <w:rsid w:val="006E192A"/>
    <w:rsid w:val="006E3470"/>
    <w:rsid w:val="006E3FC8"/>
    <w:rsid w:val="006E4D28"/>
    <w:rsid w:val="006E69D0"/>
    <w:rsid w:val="006E6D12"/>
    <w:rsid w:val="006E7EA6"/>
    <w:rsid w:val="006E7F7E"/>
    <w:rsid w:val="006F2844"/>
    <w:rsid w:val="006F35BA"/>
    <w:rsid w:val="006F443D"/>
    <w:rsid w:val="006F4DD3"/>
    <w:rsid w:val="006F4EB8"/>
    <w:rsid w:val="006F5A1D"/>
    <w:rsid w:val="006F600F"/>
    <w:rsid w:val="0070568A"/>
    <w:rsid w:val="00705DC3"/>
    <w:rsid w:val="00706160"/>
    <w:rsid w:val="00710DED"/>
    <w:rsid w:val="0071172C"/>
    <w:rsid w:val="00711F52"/>
    <w:rsid w:val="007126BB"/>
    <w:rsid w:val="007127DE"/>
    <w:rsid w:val="00712C81"/>
    <w:rsid w:val="00714D91"/>
    <w:rsid w:val="00715596"/>
    <w:rsid w:val="007157EF"/>
    <w:rsid w:val="0071635B"/>
    <w:rsid w:val="007218BB"/>
    <w:rsid w:val="0072249F"/>
    <w:rsid w:val="0072296F"/>
    <w:rsid w:val="00722DB8"/>
    <w:rsid w:val="00723219"/>
    <w:rsid w:val="00730484"/>
    <w:rsid w:val="00732066"/>
    <w:rsid w:val="00732532"/>
    <w:rsid w:val="00735C71"/>
    <w:rsid w:val="0073670F"/>
    <w:rsid w:val="00737C3B"/>
    <w:rsid w:val="0074030C"/>
    <w:rsid w:val="00740FCE"/>
    <w:rsid w:val="00741A9D"/>
    <w:rsid w:val="00743388"/>
    <w:rsid w:val="0074338D"/>
    <w:rsid w:val="0074538C"/>
    <w:rsid w:val="00746052"/>
    <w:rsid w:val="0074693A"/>
    <w:rsid w:val="00746F37"/>
    <w:rsid w:val="00750139"/>
    <w:rsid w:val="0075063D"/>
    <w:rsid w:val="00750F2A"/>
    <w:rsid w:val="00751195"/>
    <w:rsid w:val="00751A47"/>
    <w:rsid w:val="00751D6D"/>
    <w:rsid w:val="00752575"/>
    <w:rsid w:val="007530D6"/>
    <w:rsid w:val="00753E67"/>
    <w:rsid w:val="00754155"/>
    <w:rsid w:val="00755D87"/>
    <w:rsid w:val="007563F7"/>
    <w:rsid w:val="00760555"/>
    <w:rsid w:val="00760AF6"/>
    <w:rsid w:val="00763C3F"/>
    <w:rsid w:val="00764930"/>
    <w:rsid w:val="007652A3"/>
    <w:rsid w:val="007665D2"/>
    <w:rsid w:val="00770309"/>
    <w:rsid w:val="00777811"/>
    <w:rsid w:val="0078105C"/>
    <w:rsid w:val="0078356D"/>
    <w:rsid w:val="00783E32"/>
    <w:rsid w:val="00786F9F"/>
    <w:rsid w:val="00790AA6"/>
    <w:rsid w:val="00792A0A"/>
    <w:rsid w:val="00795ACF"/>
    <w:rsid w:val="007A0ED7"/>
    <w:rsid w:val="007A1799"/>
    <w:rsid w:val="007A2382"/>
    <w:rsid w:val="007A4F40"/>
    <w:rsid w:val="007A6EFA"/>
    <w:rsid w:val="007B17C4"/>
    <w:rsid w:val="007B1C08"/>
    <w:rsid w:val="007B1F5A"/>
    <w:rsid w:val="007B2694"/>
    <w:rsid w:val="007B26ED"/>
    <w:rsid w:val="007B283F"/>
    <w:rsid w:val="007B3A64"/>
    <w:rsid w:val="007B3AB6"/>
    <w:rsid w:val="007B547B"/>
    <w:rsid w:val="007B5AFF"/>
    <w:rsid w:val="007B672C"/>
    <w:rsid w:val="007B7019"/>
    <w:rsid w:val="007C0379"/>
    <w:rsid w:val="007C0656"/>
    <w:rsid w:val="007C136F"/>
    <w:rsid w:val="007C2302"/>
    <w:rsid w:val="007C28EC"/>
    <w:rsid w:val="007C4A2F"/>
    <w:rsid w:val="007C5AF4"/>
    <w:rsid w:val="007C70CE"/>
    <w:rsid w:val="007D50C4"/>
    <w:rsid w:val="007D50CC"/>
    <w:rsid w:val="007D5767"/>
    <w:rsid w:val="007D5B2A"/>
    <w:rsid w:val="007D5E37"/>
    <w:rsid w:val="007E05F5"/>
    <w:rsid w:val="007E0865"/>
    <w:rsid w:val="007E1060"/>
    <w:rsid w:val="007E1545"/>
    <w:rsid w:val="007E1984"/>
    <w:rsid w:val="007E36F2"/>
    <w:rsid w:val="007E3D90"/>
    <w:rsid w:val="007E44C9"/>
    <w:rsid w:val="007E68FE"/>
    <w:rsid w:val="007E6C2A"/>
    <w:rsid w:val="007F2973"/>
    <w:rsid w:val="007F470F"/>
    <w:rsid w:val="007F793B"/>
    <w:rsid w:val="0080073C"/>
    <w:rsid w:val="008020A4"/>
    <w:rsid w:val="008027BF"/>
    <w:rsid w:val="0080417F"/>
    <w:rsid w:val="00807A9F"/>
    <w:rsid w:val="00813EC8"/>
    <w:rsid w:val="008160F2"/>
    <w:rsid w:val="0081611E"/>
    <w:rsid w:val="0081680E"/>
    <w:rsid w:val="008178AA"/>
    <w:rsid w:val="00817AA4"/>
    <w:rsid w:val="00817F8C"/>
    <w:rsid w:val="008207FA"/>
    <w:rsid w:val="00824570"/>
    <w:rsid w:val="00824CAA"/>
    <w:rsid w:val="00825380"/>
    <w:rsid w:val="008317E2"/>
    <w:rsid w:val="00831FBB"/>
    <w:rsid w:val="00832631"/>
    <w:rsid w:val="00833E95"/>
    <w:rsid w:val="0083428B"/>
    <w:rsid w:val="00840054"/>
    <w:rsid w:val="008404EF"/>
    <w:rsid w:val="008417F9"/>
    <w:rsid w:val="00844DD2"/>
    <w:rsid w:val="00846405"/>
    <w:rsid w:val="0084704F"/>
    <w:rsid w:val="00855697"/>
    <w:rsid w:val="0086063C"/>
    <w:rsid w:val="008634D2"/>
    <w:rsid w:val="008648E0"/>
    <w:rsid w:val="00873114"/>
    <w:rsid w:val="0087352D"/>
    <w:rsid w:val="008749DD"/>
    <w:rsid w:val="00876F99"/>
    <w:rsid w:val="00877111"/>
    <w:rsid w:val="00881273"/>
    <w:rsid w:val="00881829"/>
    <w:rsid w:val="008820B3"/>
    <w:rsid w:val="00886132"/>
    <w:rsid w:val="00886169"/>
    <w:rsid w:val="00890566"/>
    <w:rsid w:val="0089113D"/>
    <w:rsid w:val="00896020"/>
    <w:rsid w:val="008961F9"/>
    <w:rsid w:val="008965F6"/>
    <w:rsid w:val="00896B4B"/>
    <w:rsid w:val="008970CF"/>
    <w:rsid w:val="008A1F3E"/>
    <w:rsid w:val="008A2B5E"/>
    <w:rsid w:val="008A2B9E"/>
    <w:rsid w:val="008A3D9D"/>
    <w:rsid w:val="008A41E2"/>
    <w:rsid w:val="008B20C3"/>
    <w:rsid w:val="008B7800"/>
    <w:rsid w:val="008B7E9C"/>
    <w:rsid w:val="008C00B1"/>
    <w:rsid w:val="008C2554"/>
    <w:rsid w:val="008C295C"/>
    <w:rsid w:val="008C338E"/>
    <w:rsid w:val="008C3A9E"/>
    <w:rsid w:val="008C438F"/>
    <w:rsid w:val="008C6286"/>
    <w:rsid w:val="008C6481"/>
    <w:rsid w:val="008C7416"/>
    <w:rsid w:val="008D05C1"/>
    <w:rsid w:val="008D1191"/>
    <w:rsid w:val="008D3386"/>
    <w:rsid w:val="008D4B5C"/>
    <w:rsid w:val="008D57A6"/>
    <w:rsid w:val="008D6394"/>
    <w:rsid w:val="008E06D3"/>
    <w:rsid w:val="008E0A70"/>
    <w:rsid w:val="008E1C5C"/>
    <w:rsid w:val="008E1DD9"/>
    <w:rsid w:val="008E5716"/>
    <w:rsid w:val="008F01BA"/>
    <w:rsid w:val="008F1B95"/>
    <w:rsid w:val="008F351D"/>
    <w:rsid w:val="008F4B01"/>
    <w:rsid w:val="008F4C83"/>
    <w:rsid w:val="008F4EB1"/>
    <w:rsid w:val="008F704C"/>
    <w:rsid w:val="008F78DF"/>
    <w:rsid w:val="0090206C"/>
    <w:rsid w:val="00902998"/>
    <w:rsid w:val="00902C50"/>
    <w:rsid w:val="00904D38"/>
    <w:rsid w:val="0090581E"/>
    <w:rsid w:val="00905ECD"/>
    <w:rsid w:val="0090625D"/>
    <w:rsid w:val="00907040"/>
    <w:rsid w:val="00907E27"/>
    <w:rsid w:val="00912C1B"/>
    <w:rsid w:val="00916B08"/>
    <w:rsid w:val="00917609"/>
    <w:rsid w:val="0092115A"/>
    <w:rsid w:val="0092125E"/>
    <w:rsid w:val="00921A81"/>
    <w:rsid w:val="00921D25"/>
    <w:rsid w:val="00924319"/>
    <w:rsid w:val="00927A05"/>
    <w:rsid w:val="00930588"/>
    <w:rsid w:val="009317B2"/>
    <w:rsid w:val="009358D5"/>
    <w:rsid w:val="00935D2E"/>
    <w:rsid w:val="00937342"/>
    <w:rsid w:val="00937BF5"/>
    <w:rsid w:val="009404E9"/>
    <w:rsid w:val="0094707B"/>
    <w:rsid w:val="00947778"/>
    <w:rsid w:val="00952A7A"/>
    <w:rsid w:val="0095327B"/>
    <w:rsid w:val="00955903"/>
    <w:rsid w:val="00955C3A"/>
    <w:rsid w:val="009561A3"/>
    <w:rsid w:val="00956F9F"/>
    <w:rsid w:val="009570FE"/>
    <w:rsid w:val="009621DA"/>
    <w:rsid w:val="009633B3"/>
    <w:rsid w:val="00963407"/>
    <w:rsid w:val="00967CA7"/>
    <w:rsid w:val="0097097A"/>
    <w:rsid w:val="00972C2A"/>
    <w:rsid w:val="009734D0"/>
    <w:rsid w:val="00974BF8"/>
    <w:rsid w:val="00977051"/>
    <w:rsid w:val="00977EF8"/>
    <w:rsid w:val="00981923"/>
    <w:rsid w:val="00984CBB"/>
    <w:rsid w:val="00985E20"/>
    <w:rsid w:val="009869E2"/>
    <w:rsid w:val="00993150"/>
    <w:rsid w:val="00993826"/>
    <w:rsid w:val="00993A59"/>
    <w:rsid w:val="009956A2"/>
    <w:rsid w:val="0099591E"/>
    <w:rsid w:val="00997D52"/>
    <w:rsid w:val="009A0EB0"/>
    <w:rsid w:val="009A2866"/>
    <w:rsid w:val="009A3B33"/>
    <w:rsid w:val="009A4503"/>
    <w:rsid w:val="009A45A0"/>
    <w:rsid w:val="009A6206"/>
    <w:rsid w:val="009A70CE"/>
    <w:rsid w:val="009B0711"/>
    <w:rsid w:val="009B2140"/>
    <w:rsid w:val="009B281E"/>
    <w:rsid w:val="009B2907"/>
    <w:rsid w:val="009B3380"/>
    <w:rsid w:val="009B35B5"/>
    <w:rsid w:val="009B3BBB"/>
    <w:rsid w:val="009B46BF"/>
    <w:rsid w:val="009B4773"/>
    <w:rsid w:val="009B59A1"/>
    <w:rsid w:val="009B75D1"/>
    <w:rsid w:val="009C39B5"/>
    <w:rsid w:val="009D2556"/>
    <w:rsid w:val="009D37EF"/>
    <w:rsid w:val="009D4360"/>
    <w:rsid w:val="009D43A4"/>
    <w:rsid w:val="009D4FD2"/>
    <w:rsid w:val="009D5262"/>
    <w:rsid w:val="009D592A"/>
    <w:rsid w:val="009D6A53"/>
    <w:rsid w:val="009D7336"/>
    <w:rsid w:val="009E004C"/>
    <w:rsid w:val="009E050D"/>
    <w:rsid w:val="009E13B8"/>
    <w:rsid w:val="009E2D94"/>
    <w:rsid w:val="009E44D6"/>
    <w:rsid w:val="009E4B38"/>
    <w:rsid w:val="009E6823"/>
    <w:rsid w:val="009F0299"/>
    <w:rsid w:val="009F0834"/>
    <w:rsid w:val="009F5FC2"/>
    <w:rsid w:val="009F6237"/>
    <w:rsid w:val="00A02A3F"/>
    <w:rsid w:val="00A02A9A"/>
    <w:rsid w:val="00A0370B"/>
    <w:rsid w:val="00A13B27"/>
    <w:rsid w:val="00A17F98"/>
    <w:rsid w:val="00A20B6F"/>
    <w:rsid w:val="00A2182D"/>
    <w:rsid w:val="00A264C5"/>
    <w:rsid w:val="00A27591"/>
    <w:rsid w:val="00A321AC"/>
    <w:rsid w:val="00A32BFB"/>
    <w:rsid w:val="00A34BEB"/>
    <w:rsid w:val="00A3695E"/>
    <w:rsid w:val="00A370D8"/>
    <w:rsid w:val="00A37207"/>
    <w:rsid w:val="00A37AE9"/>
    <w:rsid w:val="00A3A120"/>
    <w:rsid w:val="00A41A6F"/>
    <w:rsid w:val="00A42AA0"/>
    <w:rsid w:val="00A43BBA"/>
    <w:rsid w:val="00A4461E"/>
    <w:rsid w:val="00A44F74"/>
    <w:rsid w:val="00A4628B"/>
    <w:rsid w:val="00A46886"/>
    <w:rsid w:val="00A46A8D"/>
    <w:rsid w:val="00A513B3"/>
    <w:rsid w:val="00A53046"/>
    <w:rsid w:val="00A53E99"/>
    <w:rsid w:val="00A53F16"/>
    <w:rsid w:val="00A54A1C"/>
    <w:rsid w:val="00A571FD"/>
    <w:rsid w:val="00A608E8"/>
    <w:rsid w:val="00A60DC8"/>
    <w:rsid w:val="00A6132B"/>
    <w:rsid w:val="00A61451"/>
    <w:rsid w:val="00A61A43"/>
    <w:rsid w:val="00A61C19"/>
    <w:rsid w:val="00A6287B"/>
    <w:rsid w:val="00A630FD"/>
    <w:rsid w:val="00A64F2B"/>
    <w:rsid w:val="00A666CB"/>
    <w:rsid w:val="00A667B6"/>
    <w:rsid w:val="00A70795"/>
    <w:rsid w:val="00A72016"/>
    <w:rsid w:val="00A7257A"/>
    <w:rsid w:val="00A74908"/>
    <w:rsid w:val="00A75D30"/>
    <w:rsid w:val="00A76B41"/>
    <w:rsid w:val="00A81401"/>
    <w:rsid w:val="00A81567"/>
    <w:rsid w:val="00A82DA8"/>
    <w:rsid w:val="00A83406"/>
    <w:rsid w:val="00A83C18"/>
    <w:rsid w:val="00A8616B"/>
    <w:rsid w:val="00A86523"/>
    <w:rsid w:val="00A86881"/>
    <w:rsid w:val="00A90DD9"/>
    <w:rsid w:val="00A90DE0"/>
    <w:rsid w:val="00A91213"/>
    <w:rsid w:val="00A916D3"/>
    <w:rsid w:val="00A936E9"/>
    <w:rsid w:val="00A94ADD"/>
    <w:rsid w:val="00A94E3A"/>
    <w:rsid w:val="00A95DDD"/>
    <w:rsid w:val="00A960DC"/>
    <w:rsid w:val="00A965B2"/>
    <w:rsid w:val="00AA0709"/>
    <w:rsid w:val="00AA0D7D"/>
    <w:rsid w:val="00AA1EA0"/>
    <w:rsid w:val="00AA21B4"/>
    <w:rsid w:val="00AA29B1"/>
    <w:rsid w:val="00AA59C5"/>
    <w:rsid w:val="00AA66D7"/>
    <w:rsid w:val="00AA66FB"/>
    <w:rsid w:val="00AA6B51"/>
    <w:rsid w:val="00AB053B"/>
    <w:rsid w:val="00AB2437"/>
    <w:rsid w:val="00AB2448"/>
    <w:rsid w:val="00AB3061"/>
    <w:rsid w:val="00AB3389"/>
    <w:rsid w:val="00AB36E7"/>
    <w:rsid w:val="00AB5EB4"/>
    <w:rsid w:val="00AB676C"/>
    <w:rsid w:val="00AB7B8B"/>
    <w:rsid w:val="00AC20C3"/>
    <w:rsid w:val="00AC28FD"/>
    <w:rsid w:val="00AC3653"/>
    <w:rsid w:val="00AC42CD"/>
    <w:rsid w:val="00AC49C5"/>
    <w:rsid w:val="00AC49D0"/>
    <w:rsid w:val="00AC5008"/>
    <w:rsid w:val="00AC5EF0"/>
    <w:rsid w:val="00AC7BAD"/>
    <w:rsid w:val="00AD008C"/>
    <w:rsid w:val="00AD143A"/>
    <w:rsid w:val="00AD1911"/>
    <w:rsid w:val="00AD658E"/>
    <w:rsid w:val="00AE0241"/>
    <w:rsid w:val="00AE0925"/>
    <w:rsid w:val="00AE111C"/>
    <w:rsid w:val="00AE14A8"/>
    <w:rsid w:val="00AE1B8F"/>
    <w:rsid w:val="00AE5008"/>
    <w:rsid w:val="00AE6A28"/>
    <w:rsid w:val="00AF039D"/>
    <w:rsid w:val="00AF03B3"/>
    <w:rsid w:val="00AF1A91"/>
    <w:rsid w:val="00AF3237"/>
    <w:rsid w:val="00AF3328"/>
    <w:rsid w:val="00AF40F5"/>
    <w:rsid w:val="00AF4700"/>
    <w:rsid w:val="00AF4D7C"/>
    <w:rsid w:val="00B0181E"/>
    <w:rsid w:val="00B01CC5"/>
    <w:rsid w:val="00B01E16"/>
    <w:rsid w:val="00B01F08"/>
    <w:rsid w:val="00B02C78"/>
    <w:rsid w:val="00B02FB9"/>
    <w:rsid w:val="00B03B47"/>
    <w:rsid w:val="00B070D0"/>
    <w:rsid w:val="00B1228E"/>
    <w:rsid w:val="00B12A93"/>
    <w:rsid w:val="00B13434"/>
    <w:rsid w:val="00B15683"/>
    <w:rsid w:val="00B1591B"/>
    <w:rsid w:val="00B1742C"/>
    <w:rsid w:val="00B175DD"/>
    <w:rsid w:val="00B1765D"/>
    <w:rsid w:val="00B17E31"/>
    <w:rsid w:val="00B20EA5"/>
    <w:rsid w:val="00B238C8"/>
    <w:rsid w:val="00B2610A"/>
    <w:rsid w:val="00B26302"/>
    <w:rsid w:val="00B32FF7"/>
    <w:rsid w:val="00B3347E"/>
    <w:rsid w:val="00B36657"/>
    <w:rsid w:val="00B3699C"/>
    <w:rsid w:val="00B36A36"/>
    <w:rsid w:val="00B37975"/>
    <w:rsid w:val="00B37B3B"/>
    <w:rsid w:val="00B44C47"/>
    <w:rsid w:val="00B508CE"/>
    <w:rsid w:val="00B5139E"/>
    <w:rsid w:val="00B52A6D"/>
    <w:rsid w:val="00B53F9C"/>
    <w:rsid w:val="00B548C1"/>
    <w:rsid w:val="00B55973"/>
    <w:rsid w:val="00B57756"/>
    <w:rsid w:val="00B57F4F"/>
    <w:rsid w:val="00B61C9B"/>
    <w:rsid w:val="00B655D6"/>
    <w:rsid w:val="00B65AF3"/>
    <w:rsid w:val="00B670F4"/>
    <w:rsid w:val="00B67130"/>
    <w:rsid w:val="00B736BF"/>
    <w:rsid w:val="00B741AD"/>
    <w:rsid w:val="00B7636D"/>
    <w:rsid w:val="00B768B0"/>
    <w:rsid w:val="00B80CF1"/>
    <w:rsid w:val="00B83D77"/>
    <w:rsid w:val="00B84EBD"/>
    <w:rsid w:val="00B85668"/>
    <w:rsid w:val="00B85B78"/>
    <w:rsid w:val="00B85E78"/>
    <w:rsid w:val="00B863A4"/>
    <w:rsid w:val="00B86644"/>
    <w:rsid w:val="00B87C27"/>
    <w:rsid w:val="00B90314"/>
    <w:rsid w:val="00B90987"/>
    <w:rsid w:val="00B9284E"/>
    <w:rsid w:val="00B92B01"/>
    <w:rsid w:val="00B937AB"/>
    <w:rsid w:val="00B94F28"/>
    <w:rsid w:val="00BA18B3"/>
    <w:rsid w:val="00BA2A38"/>
    <w:rsid w:val="00BA31C4"/>
    <w:rsid w:val="00BA3CF4"/>
    <w:rsid w:val="00BA56FC"/>
    <w:rsid w:val="00BA7240"/>
    <w:rsid w:val="00BB02E6"/>
    <w:rsid w:val="00BB1AA9"/>
    <w:rsid w:val="00BB3282"/>
    <w:rsid w:val="00BB4E50"/>
    <w:rsid w:val="00BB515D"/>
    <w:rsid w:val="00BB5660"/>
    <w:rsid w:val="00BB6D91"/>
    <w:rsid w:val="00BC08E3"/>
    <w:rsid w:val="00BC1157"/>
    <w:rsid w:val="00BC2267"/>
    <w:rsid w:val="00BC36E8"/>
    <w:rsid w:val="00BC3CD2"/>
    <w:rsid w:val="00BC4021"/>
    <w:rsid w:val="00BC5969"/>
    <w:rsid w:val="00BC6093"/>
    <w:rsid w:val="00BC71DA"/>
    <w:rsid w:val="00BD061F"/>
    <w:rsid w:val="00BD0C60"/>
    <w:rsid w:val="00BD26EF"/>
    <w:rsid w:val="00BD2EB4"/>
    <w:rsid w:val="00BD38A2"/>
    <w:rsid w:val="00BD56B4"/>
    <w:rsid w:val="00BD5741"/>
    <w:rsid w:val="00BD611A"/>
    <w:rsid w:val="00BE04F2"/>
    <w:rsid w:val="00BE1924"/>
    <w:rsid w:val="00BE2E79"/>
    <w:rsid w:val="00BE49C7"/>
    <w:rsid w:val="00BE5216"/>
    <w:rsid w:val="00BE6137"/>
    <w:rsid w:val="00BE6337"/>
    <w:rsid w:val="00BF1FB9"/>
    <w:rsid w:val="00BF3628"/>
    <w:rsid w:val="00C00441"/>
    <w:rsid w:val="00C0339D"/>
    <w:rsid w:val="00C05EB1"/>
    <w:rsid w:val="00C06913"/>
    <w:rsid w:val="00C072F1"/>
    <w:rsid w:val="00C103BD"/>
    <w:rsid w:val="00C117FA"/>
    <w:rsid w:val="00C13600"/>
    <w:rsid w:val="00C14169"/>
    <w:rsid w:val="00C14AF2"/>
    <w:rsid w:val="00C17BCF"/>
    <w:rsid w:val="00C20E7A"/>
    <w:rsid w:val="00C21889"/>
    <w:rsid w:val="00C23071"/>
    <w:rsid w:val="00C23E28"/>
    <w:rsid w:val="00C24D6E"/>
    <w:rsid w:val="00C257AC"/>
    <w:rsid w:val="00C26ABB"/>
    <w:rsid w:val="00C31839"/>
    <w:rsid w:val="00C31CCE"/>
    <w:rsid w:val="00C3246A"/>
    <w:rsid w:val="00C32616"/>
    <w:rsid w:val="00C328CF"/>
    <w:rsid w:val="00C3373B"/>
    <w:rsid w:val="00C33B6E"/>
    <w:rsid w:val="00C351F2"/>
    <w:rsid w:val="00C36C10"/>
    <w:rsid w:val="00C420E7"/>
    <w:rsid w:val="00C42FC2"/>
    <w:rsid w:val="00C43806"/>
    <w:rsid w:val="00C44CE1"/>
    <w:rsid w:val="00C47AB5"/>
    <w:rsid w:val="00C47CB9"/>
    <w:rsid w:val="00C506A0"/>
    <w:rsid w:val="00C50F60"/>
    <w:rsid w:val="00C52FB9"/>
    <w:rsid w:val="00C54C27"/>
    <w:rsid w:val="00C55084"/>
    <w:rsid w:val="00C564FA"/>
    <w:rsid w:val="00C56A0C"/>
    <w:rsid w:val="00C60FE7"/>
    <w:rsid w:val="00C62CCB"/>
    <w:rsid w:val="00C65564"/>
    <w:rsid w:val="00C660F7"/>
    <w:rsid w:val="00C67325"/>
    <w:rsid w:val="00C678DA"/>
    <w:rsid w:val="00C718BC"/>
    <w:rsid w:val="00C73728"/>
    <w:rsid w:val="00C75EDB"/>
    <w:rsid w:val="00C81660"/>
    <w:rsid w:val="00C816D6"/>
    <w:rsid w:val="00C818EE"/>
    <w:rsid w:val="00C81C68"/>
    <w:rsid w:val="00C84283"/>
    <w:rsid w:val="00C84B57"/>
    <w:rsid w:val="00C91842"/>
    <w:rsid w:val="00C9256C"/>
    <w:rsid w:val="00C9347D"/>
    <w:rsid w:val="00CA0593"/>
    <w:rsid w:val="00CA31B7"/>
    <w:rsid w:val="00CA61D8"/>
    <w:rsid w:val="00CA6F4A"/>
    <w:rsid w:val="00CA7353"/>
    <w:rsid w:val="00CA7EB2"/>
    <w:rsid w:val="00CB1744"/>
    <w:rsid w:val="00CB30BC"/>
    <w:rsid w:val="00CB410F"/>
    <w:rsid w:val="00CB595C"/>
    <w:rsid w:val="00CB71A7"/>
    <w:rsid w:val="00CC2CD5"/>
    <w:rsid w:val="00CC2D81"/>
    <w:rsid w:val="00CC353D"/>
    <w:rsid w:val="00CC45F3"/>
    <w:rsid w:val="00CC4936"/>
    <w:rsid w:val="00CC531E"/>
    <w:rsid w:val="00CC5676"/>
    <w:rsid w:val="00CC586A"/>
    <w:rsid w:val="00CC5A3D"/>
    <w:rsid w:val="00CC5DF8"/>
    <w:rsid w:val="00CC6C73"/>
    <w:rsid w:val="00CC7678"/>
    <w:rsid w:val="00CD1A84"/>
    <w:rsid w:val="00CD1D98"/>
    <w:rsid w:val="00CD2E24"/>
    <w:rsid w:val="00CD4732"/>
    <w:rsid w:val="00CD47C3"/>
    <w:rsid w:val="00CD5395"/>
    <w:rsid w:val="00CE0A7A"/>
    <w:rsid w:val="00CE0F16"/>
    <w:rsid w:val="00CE1BB4"/>
    <w:rsid w:val="00CE1E60"/>
    <w:rsid w:val="00CE29BB"/>
    <w:rsid w:val="00CE2EB9"/>
    <w:rsid w:val="00CE3237"/>
    <w:rsid w:val="00CE365F"/>
    <w:rsid w:val="00CE5CE4"/>
    <w:rsid w:val="00CE5EB9"/>
    <w:rsid w:val="00CE6BA7"/>
    <w:rsid w:val="00CF058A"/>
    <w:rsid w:val="00CF121D"/>
    <w:rsid w:val="00CF1267"/>
    <w:rsid w:val="00CF12AB"/>
    <w:rsid w:val="00CF1328"/>
    <w:rsid w:val="00CF1B5B"/>
    <w:rsid w:val="00CF25CC"/>
    <w:rsid w:val="00CF305C"/>
    <w:rsid w:val="00CF3490"/>
    <w:rsid w:val="00CF5866"/>
    <w:rsid w:val="00CF77CA"/>
    <w:rsid w:val="00D00875"/>
    <w:rsid w:val="00D00D44"/>
    <w:rsid w:val="00D05493"/>
    <w:rsid w:val="00D05783"/>
    <w:rsid w:val="00D06CF0"/>
    <w:rsid w:val="00D07AF2"/>
    <w:rsid w:val="00D07FE3"/>
    <w:rsid w:val="00D10F51"/>
    <w:rsid w:val="00D122F3"/>
    <w:rsid w:val="00D13200"/>
    <w:rsid w:val="00D156E1"/>
    <w:rsid w:val="00D171F6"/>
    <w:rsid w:val="00D1750D"/>
    <w:rsid w:val="00D17901"/>
    <w:rsid w:val="00D22C01"/>
    <w:rsid w:val="00D2321B"/>
    <w:rsid w:val="00D233A1"/>
    <w:rsid w:val="00D23D70"/>
    <w:rsid w:val="00D23E27"/>
    <w:rsid w:val="00D24033"/>
    <w:rsid w:val="00D2538A"/>
    <w:rsid w:val="00D26569"/>
    <w:rsid w:val="00D26769"/>
    <w:rsid w:val="00D2788A"/>
    <w:rsid w:val="00D27AF8"/>
    <w:rsid w:val="00D27B98"/>
    <w:rsid w:val="00D300A6"/>
    <w:rsid w:val="00D30875"/>
    <w:rsid w:val="00D316AD"/>
    <w:rsid w:val="00D32234"/>
    <w:rsid w:val="00D33424"/>
    <w:rsid w:val="00D33E8A"/>
    <w:rsid w:val="00D34273"/>
    <w:rsid w:val="00D34B27"/>
    <w:rsid w:val="00D357A1"/>
    <w:rsid w:val="00D37D72"/>
    <w:rsid w:val="00D40238"/>
    <w:rsid w:val="00D41105"/>
    <w:rsid w:val="00D4399F"/>
    <w:rsid w:val="00D45126"/>
    <w:rsid w:val="00D50360"/>
    <w:rsid w:val="00D5053D"/>
    <w:rsid w:val="00D517FF"/>
    <w:rsid w:val="00D524ED"/>
    <w:rsid w:val="00D52E6A"/>
    <w:rsid w:val="00D547E3"/>
    <w:rsid w:val="00D54F4C"/>
    <w:rsid w:val="00D55756"/>
    <w:rsid w:val="00D56841"/>
    <w:rsid w:val="00D56EA2"/>
    <w:rsid w:val="00D608BA"/>
    <w:rsid w:val="00D61585"/>
    <w:rsid w:val="00D63BE3"/>
    <w:rsid w:val="00D64901"/>
    <w:rsid w:val="00D6543F"/>
    <w:rsid w:val="00D65D33"/>
    <w:rsid w:val="00D669D2"/>
    <w:rsid w:val="00D67323"/>
    <w:rsid w:val="00D70CBE"/>
    <w:rsid w:val="00D70F7A"/>
    <w:rsid w:val="00D71D6A"/>
    <w:rsid w:val="00D74D5D"/>
    <w:rsid w:val="00D74E0C"/>
    <w:rsid w:val="00D76771"/>
    <w:rsid w:val="00D81651"/>
    <w:rsid w:val="00D82BFA"/>
    <w:rsid w:val="00D8493F"/>
    <w:rsid w:val="00D86A0A"/>
    <w:rsid w:val="00D86F4C"/>
    <w:rsid w:val="00D915E1"/>
    <w:rsid w:val="00D930CF"/>
    <w:rsid w:val="00D93AA8"/>
    <w:rsid w:val="00D94688"/>
    <w:rsid w:val="00D96B23"/>
    <w:rsid w:val="00D97191"/>
    <w:rsid w:val="00D97501"/>
    <w:rsid w:val="00D977BA"/>
    <w:rsid w:val="00DA173B"/>
    <w:rsid w:val="00DA1C3E"/>
    <w:rsid w:val="00DA2ECB"/>
    <w:rsid w:val="00DA3116"/>
    <w:rsid w:val="00DA6EDA"/>
    <w:rsid w:val="00DA71C1"/>
    <w:rsid w:val="00DB1552"/>
    <w:rsid w:val="00DB1671"/>
    <w:rsid w:val="00DB39B1"/>
    <w:rsid w:val="00DB3EEB"/>
    <w:rsid w:val="00DB5A2E"/>
    <w:rsid w:val="00DB5A5D"/>
    <w:rsid w:val="00DB617B"/>
    <w:rsid w:val="00DB7104"/>
    <w:rsid w:val="00DB75F8"/>
    <w:rsid w:val="00DC0528"/>
    <w:rsid w:val="00DC1104"/>
    <w:rsid w:val="00DC3A45"/>
    <w:rsid w:val="00DC3DBA"/>
    <w:rsid w:val="00DC46C1"/>
    <w:rsid w:val="00DC4CA7"/>
    <w:rsid w:val="00DC4F68"/>
    <w:rsid w:val="00DC5396"/>
    <w:rsid w:val="00DC7466"/>
    <w:rsid w:val="00DC7E1C"/>
    <w:rsid w:val="00DD2526"/>
    <w:rsid w:val="00DD2BAE"/>
    <w:rsid w:val="00DD2C43"/>
    <w:rsid w:val="00DD632E"/>
    <w:rsid w:val="00DD7964"/>
    <w:rsid w:val="00DE0680"/>
    <w:rsid w:val="00DE0B69"/>
    <w:rsid w:val="00DE1D4F"/>
    <w:rsid w:val="00DE2F7E"/>
    <w:rsid w:val="00DE512D"/>
    <w:rsid w:val="00DE5760"/>
    <w:rsid w:val="00DE5D92"/>
    <w:rsid w:val="00DE65A2"/>
    <w:rsid w:val="00DE683A"/>
    <w:rsid w:val="00DE6F2E"/>
    <w:rsid w:val="00DE77CA"/>
    <w:rsid w:val="00DF0231"/>
    <w:rsid w:val="00DF090F"/>
    <w:rsid w:val="00DF1465"/>
    <w:rsid w:val="00DF16D2"/>
    <w:rsid w:val="00DF2DCC"/>
    <w:rsid w:val="00DF2E62"/>
    <w:rsid w:val="00DF6D7E"/>
    <w:rsid w:val="00DF7A2A"/>
    <w:rsid w:val="00E01D0E"/>
    <w:rsid w:val="00E0239A"/>
    <w:rsid w:val="00E04641"/>
    <w:rsid w:val="00E051C9"/>
    <w:rsid w:val="00E07C30"/>
    <w:rsid w:val="00E1016F"/>
    <w:rsid w:val="00E10452"/>
    <w:rsid w:val="00E133A0"/>
    <w:rsid w:val="00E138B3"/>
    <w:rsid w:val="00E16215"/>
    <w:rsid w:val="00E165A5"/>
    <w:rsid w:val="00E17F0E"/>
    <w:rsid w:val="00E222FE"/>
    <w:rsid w:val="00E22681"/>
    <w:rsid w:val="00E23BAD"/>
    <w:rsid w:val="00E257C5"/>
    <w:rsid w:val="00E2629F"/>
    <w:rsid w:val="00E26E83"/>
    <w:rsid w:val="00E2714E"/>
    <w:rsid w:val="00E273D5"/>
    <w:rsid w:val="00E31650"/>
    <w:rsid w:val="00E3171B"/>
    <w:rsid w:val="00E3304F"/>
    <w:rsid w:val="00E34BBD"/>
    <w:rsid w:val="00E35169"/>
    <w:rsid w:val="00E36061"/>
    <w:rsid w:val="00E40725"/>
    <w:rsid w:val="00E41E20"/>
    <w:rsid w:val="00E45DC3"/>
    <w:rsid w:val="00E47DFC"/>
    <w:rsid w:val="00E5247F"/>
    <w:rsid w:val="00E52962"/>
    <w:rsid w:val="00E5320C"/>
    <w:rsid w:val="00E53724"/>
    <w:rsid w:val="00E5461E"/>
    <w:rsid w:val="00E549E8"/>
    <w:rsid w:val="00E552C8"/>
    <w:rsid w:val="00E553D4"/>
    <w:rsid w:val="00E62271"/>
    <w:rsid w:val="00E63B08"/>
    <w:rsid w:val="00E65B47"/>
    <w:rsid w:val="00E66EB2"/>
    <w:rsid w:val="00E66F71"/>
    <w:rsid w:val="00E67B18"/>
    <w:rsid w:val="00E67FBF"/>
    <w:rsid w:val="00E71FA8"/>
    <w:rsid w:val="00E730CC"/>
    <w:rsid w:val="00E746A2"/>
    <w:rsid w:val="00E75006"/>
    <w:rsid w:val="00E7C4D9"/>
    <w:rsid w:val="00E81611"/>
    <w:rsid w:val="00E822E2"/>
    <w:rsid w:val="00E82C4C"/>
    <w:rsid w:val="00E8376B"/>
    <w:rsid w:val="00E83C37"/>
    <w:rsid w:val="00E84350"/>
    <w:rsid w:val="00E84C2E"/>
    <w:rsid w:val="00E857E2"/>
    <w:rsid w:val="00E85863"/>
    <w:rsid w:val="00E85E0F"/>
    <w:rsid w:val="00E85FC5"/>
    <w:rsid w:val="00E87DA3"/>
    <w:rsid w:val="00E9112D"/>
    <w:rsid w:val="00E91AE4"/>
    <w:rsid w:val="00E91DB0"/>
    <w:rsid w:val="00E93B51"/>
    <w:rsid w:val="00E94243"/>
    <w:rsid w:val="00E945AB"/>
    <w:rsid w:val="00E95501"/>
    <w:rsid w:val="00EA0559"/>
    <w:rsid w:val="00EA14D6"/>
    <w:rsid w:val="00EA167D"/>
    <w:rsid w:val="00EA2774"/>
    <w:rsid w:val="00EA2CA7"/>
    <w:rsid w:val="00EA431D"/>
    <w:rsid w:val="00EA6287"/>
    <w:rsid w:val="00EA6557"/>
    <w:rsid w:val="00EA6C7E"/>
    <w:rsid w:val="00EB0058"/>
    <w:rsid w:val="00EB164F"/>
    <w:rsid w:val="00EB2FF6"/>
    <w:rsid w:val="00EB3BD0"/>
    <w:rsid w:val="00EB4168"/>
    <w:rsid w:val="00EB466B"/>
    <w:rsid w:val="00EB6521"/>
    <w:rsid w:val="00EB6EB5"/>
    <w:rsid w:val="00EB6EC2"/>
    <w:rsid w:val="00EC11CE"/>
    <w:rsid w:val="00EC11D2"/>
    <w:rsid w:val="00EC15F7"/>
    <w:rsid w:val="00EC2588"/>
    <w:rsid w:val="00EC4BCD"/>
    <w:rsid w:val="00EC5BD7"/>
    <w:rsid w:val="00EC5FC6"/>
    <w:rsid w:val="00EC6C32"/>
    <w:rsid w:val="00EC6E4E"/>
    <w:rsid w:val="00ED112D"/>
    <w:rsid w:val="00ED1C1C"/>
    <w:rsid w:val="00ED460A"/>
    <w:rsid w:val="00ED47E8"/>
    <w:rsid w:val="00ED526A"/>
    <w:rsid w:val="00ED6798"/>
    <w:rsid w:val="00EE2CA9"/>
    <w:rsid w:val="00EE4251"/>
    <w:rsid w:val="00EE526B"/>
    <w:rsid w:val="00EE54E1"/>
    <w:rsid w:val="00EE67D8"/>
    <w:rsid w:val="00EF38C4"/>
    <w:rsid w:val="00EF558C"/>
    <w:rsid w:val="00F009DF"/>
    <w:rsid w:val="00F00A97"/>
    <w:rsid w:val="00F01091"/>
    <w:rsid w:val="00F01B6C"/>
    <w:rsid w:val="00F06818"/>
    <w:rsid w:val="00F06B99"/>
    <w:rsid w:val="00F10110"/>
    <w:rsid w:val="00F107DC"/>
    <w:rsid w:val="00F1192E"/>
    <w:rsid w:val="00F12AAE"/>
    <w:rsid w:val="00F12B73"/>
    <w:rsid w:val="00F12D60"/>
    <w:rsid w:val="00F13594"/>
    <w:rsid w:val="00F13D47"/>
    <w:rsid w:val="00F2462E"/>
    <w:rsid w:val="00F248FA"/>
    <w:rsid w:val="00F24C3A"/>
    <w:rsid w:val="00F25BF3"/>
    <w:rsid w:val="00F25D6E"/>
    <w:rsid w:val="00F25F7F"/>
    <w:rsid w:val="00F264BF"/>
    <w:rsid w:val="00F26F36"/>
    <w:rsid w:val="00F27285"/>
    <w:rsid w:val="00F279DB"/>
    <w:rsid w:val="00F3210A"/>
    <w:rsid w:val="00F338A8"/>
    <w:rsid w:val="00F33F5E"/>
    <w:rsid w:val="00F34BF3"/>
    <w:rsid w:val="00F3621D"/>
    <w:rsid w:val="00F372FE"/>
    <w:rsid w:val="00F38786"/>
    <w:rsid w:val="00F4021D"/>
    <w:rsid w:val="00F40F88"/>
    <w:rsid w:val="00F41B7E"/>
    <w:rsid w:val="00F429F1"/>
    <w:rsid w:val="00F46905"/>
    <w:rsid w:val="00F53702"/>
    <w:rsid w:val="00F53A71"/>
    <w:rsid w:val="00F53D05"/>
    <w:rsid w:val="00F53F44"/>
    <w:rsid w:val="00F54106"/>
    <w:rsid w:val="00F566C1"/>
    <w:rsid w:val="00F57F4D"/>
    <w:rsid w:val="00F60840"/>
    <w:rsid w:val="00F612DD"/>
    <w:rsid w:val="00F61E04"/>
    <w:rsid w:val="00F6222B"/>
    <w:rsid w:val="00F63C5E"/>
    <w:rsid w:val="00F64D3C"/>
    <w:rsid w:val="00F70DE4"/>
    <w:rsid w:val="00F7148F"/>
    <w:rsid w:val="00F714CE"/>
    <w:rsid w:val="00F716D2"/>
    <w:rsid w:val="00F72154"/>
    <w:rsid w:val="00F75174"/>
    <w:rsid w:val="00F75B86"/>
    <w:rsid w:val="00F75B8D"/>
    <w:rsid w:val="00F77933"/>
    <w:rsid w:val="00F77D3D"/>
    <w:rsid w:val="00F77DC6"/>
    <w:rsid w:val="00F819C5"/>
    <w:rsid w:val="00F827E9"/>
    <w:rsid w:val="00F84029"/>
    <w:rsid w:val="00F8411A"/>
    <w:rsid w:val="00F84E96"/>
    <w:rsid w:val="00F8535D"/>
    <w:rsid w:val="00F86031"/>
    <w:rsid w:val="00F90199"/>
    <w:rsid w:val="00F9037C"/>
    <w:rsid w:val="00F904DF"/>
    <w:rsid w:val="00F91A3B"/>
    <w:rsid w:val="00F923AD"/>
    <w:rsid w:val="00F929D5"/>
    <w:rsid w:val="00F95314"/>
    <w:rsid w:val="00F97195"/>
    <w:rsid w:val="00FA04F1"/>
    <w:rsid w:val="00FA5D2E"/>
    <w:rsid w:val="00FB6152"/>
    <w:rsid w:val="00FB6868"/>
    <w:rsid w:val="00FB7479"/>
    <w:rsid w:val="00FC0662"/>
    <w:rsid w:val="00FC1405"/>
    <w:rsid w:val="00FC15AE"/>
    <w:rsid w:val="00FC1CF7"/>
    <w:rsid w:val="00FC40DD"/>
    <w:rsid w:val="00FC4907"/>
    <w:rsid w:val="00FC5613"/>
    <w:rsid w:val="00FD37ED"/>
    <w:rsid w:val="00FD4781"/>
    <w:rsid w:val="00FD765C"/>
    <w:rsid w:val="00FE23A7"/>
    <w:rsid w:val="00FE2B17"/>
    <w:rsid w:val="00FE483E"/>
    <w:rsid w:val="00FE7C9A"/>
    <w:rsid w:val="00FF0913"/>
    <w:rsid w:val="00FF10A8"/>
    <w:rsid w:val="00FF34EC"/>
    <w:rsid w:val="00FF4AD9"/>
    <w:rsid w:val="00FF4C0E"/>
    <w:rsid w:val="00FF7EFE"/>
    <w:rsid w:val="0180EF80"/>
    <w:rsid w:val="0188CAF7"/>
    <w:rsid w:val="022E98D3"/>
    <w:rsid w:val="028F8607"/>
    <w:rsid w:val="02BB57CC"/>
    <w:rsid w:val="039F9C99"/>
    <w:rsid w:val="040A9EC9"/>
    <w:rsid w:val="0426E7F6"/>
    <w:rsid w:val="044B6A5C"/>
    <w:rsid w:val="0465F8A5"/>
    <w:rsid w:val="04B1C809"/>
    <w:rsid w:val="05118319"/>
    <w:rsid w:val="05360C8E"/>
    <w:rsid w:val="05799F4E"/>
    <w:rsid w:val="05A0986E"/>
    <w:rsid w:val="05C15CFD"/>
    <w:rsid w:val="05DB5EDA"/>
    <w:rsid w:val="05E63FA3"/>
    <w:rsid w:val="06047AC0"/>
    <w:rsid w:val="0622C21C"/>
    <w:rsid w:val="0763D4FE"/>
    <w:rsid w:val="07E4D07D"/>
    <w:rsid w:val="085B1B49"/>
    <w:rsid w:val="08B55C29"/>
    <w:rsid w:val="08CAB1D8"/>
    <w:rsid w:val="08F0C58A"/>
    <w:rsid w:val="0944CD98"/>
    <w:rsid w:val="09C4BFD5"/>
    <w:rsid w:val="09E6CD72"/>
    <w:rsid w:val="0A2DA8DD"/>
    <w:rsid w:val="0A478C86"/>
    <w:rsid w:val="0A6034F0"/>
    <w:rsid w:val="0A8B73C1"/>
    <w:rsid w:val="0AB4C521"/>
    <w:rsid w:val="0ABEBA92"/>
    <w:rsid w:val="0AF359A5"/>
    <w:rsid w:val="0B4A20E5"/>
    <w:rsid w:val="0B796956"/>
    <w:rsid w:val="0C6434E4"/>
    <w:rsid w:val="0C93F0CB"/>
    <w:rsid w:val="0D0037E4"/>
    <w:rsid w:val="0D31EE83"/>
    <w:rsid w:val="0D45B243"/>
    <w:rsid w:val="0D7014D2"/>
    <w:rsid w:val="0DBE4BD6"/>
    <w:rsid w:val="0DCAD437"/>
    <w:rsid w:val="0E4660FD"/>
    <w:rsid w:val="0ECA107B"/>
    <w:rsid w:val="0ECD3336"/>
    <w:rsid w:val="0EF5B6EE"/>
    <w:rsid w:val="103905FA"/>
    <w:rsid w:val="108AB07E"/>
    <w:rsid w:val="10B849F2"/>
    <w:rsid w:val="1104F4C9"/>
    <w:rsid w:val="11185702"/>
    <w:rsid w:val="115126A1"/>
    <w:rsid w:val="117D3CEF"/>
    <w:rsid w:val="11EE978D"/>
    <w:rsid w:val="1206C2D9"/>
    <w:rsid w:val="1222AA3A"/>
    <w:rsid w:val="1256EB46"/>
    <w:rsid w:val="1293A31B"/>
    <w:rsid w:val="12E393AC"/>
    <w:rsid w:val="13B715DA"/>
    <w:rsid w:val="13CE4C19"/>
    <w:rsid w:val="13F9900F"/>
    <w:rsid w:val="142031CF"/>
    <w:rsid w:val="142ACAD3"/>
    <w:rsid w:val="144734D7"/>
    <w:rsid w:val="14A00771"/>
    <w:rsid w:val="151B7B2F"/>
    <w:rsid w:val="1577719B"/>
    <w:rsid w:val="157A0057"/>
    <w:rsid w:val="157AFDD0"/>
    <w:rsid w:val="159A9107"/>
    <w:rsid w:val="15BAFD44"/>
    <w:rsid w:val="1677FF76"/>
    <w:rsid w:val="16B708AD"/>
    <w:rsid w:val="16BC424C"/>
    <w:rsid w:val="17F827C0"/>
    <w:rsid w:val="180527CE"/>
    <w:rsid w:val="18C18A23"/>
    <w:rsid w:val="195065B3"/>
    <w:rsid w:val="195D0027"/>
    <w:rsid w:val="1977BD83"/>
    <w:rsid w:val="197CECE9"/>
    <w:rsid w:val="19CA5D82"/>
    <w:rsid w:val="19F6CE1A"/>
    <w:rsid w:val="1A39377C"/>
    <w:rsid w:val="1A7C2375"/>
    <w:rsid w:val="1A9B4FCA"/>
    <w:rsid w:val="1ABEC04E"/>
    <w:rsid w:val="1B3F62DB"/>
    <w:rsid w:val="1B73137D"/>
    <w:rsid w:val="1BBB9D47"/>
    <w:rsid w:val="1C02C10C"/>
    <w:rsid w:val="1C129774"/>
    <w:rsid w:val="1C168E70"/>
    <w:rsid w:val="1C666EC2"/>
    <w:rsid w:val="1D2877C8"/>
    <w:rsid w:val="1D4DB983"/>
    <w:rsid w:val="1D841E28"/>
    <w:rsid w:val="1D90B669"/>
    <w:rsid w:val="1DE21E2C"/>
    <w:rsid w:val="1DE98A49"/>
    <w:rsid w:val="1DEE71BD"/>
    <w:rsid w:val="1E3361AF"/>
    <w:rsid w:val="1E754BBA"/>
    <w:rsid w:val="1EF7AA3D"/>
    <w:rsid w:val="1F438A69"/>
    <w:rsid w:val="1FAF99A8"/>
    <w:rsid w:val="2010CDE0"/>
    <w:rsid w:val="2080E60E"/>
    <w:rsid w:val="208535F8"/>
    <w:rsid w:val="216935AA"/>
    <w:rsid w:val="21730F15"/>
    <w:rsid w:val="21963807"/>
    <w:rsid w:val="219BDF01"/>
    <w:rsid w:val="21DA0767"/>
    <w:rsid w:val="2256CF73"/>
    <w:rsid w:val="2282B00A"/>
    <w:rsid w:val="228FA0FD"/>
    <w:rsid w:val="22B3851F"/>
    <w:rsid w:val="22DA962C"/>
    <w:rsid w:val="2309C608"/>
    <w:rsid w:val="232008A8"/>
    <w:rsid w:val="23D361DA"/>
    <w:rsid w:val="23F57327"/>
    <w:rsid w:val="23FC2A42"/>
    <w:rsid w:val="2421E465"/>
    <w:rsid w:val="24433E52"/>
    <w:rsid w:val="24818D98"/>
    <w:rsid w:val="249DC66E"/>
    <w:rsid w:val="24A19923"/>
    <w:rsid w:val="25AC39A8"/>
    <w:rsid w:val="25C02A81"/>
    <w:rsid w:val="25FE8BE6"/>
    <w:rsid w:val="26023BEC"/>
    <w:rsid w:val="26C3E94D"/>
    <w:rsid w:val="27019A48"/>
    <w:rsid w:val="2787CE41"/>
    <w:rsid w:val="28043606"/>
    <w:rsid w:val="283DA1BF"/>
    <w:rsid w:val="28729F80"/>
    <w:rsid w:val="28BA3826"/>
    <w:rsid w:val="28FCE58D"/>
    <w:rsid w:val="2939ED0D"/>
    <w:rsid w:val="29B5AE38"/>
    <w:rsid w:val="29B90C53"/>
    <w:rsid w:val="29F27101"/>
    <w:rsid w:val="29FF9569"/>
    <w:rsid w:val="2A148555"/>
    <w:rsid w:val="2AD3E251"/>
    <w:rsid w:val="2B05B912"/>
    <w:rsid w:val="2B09BB21"/>
    <w:rsid w:val="2B2DFE67"/>
    <w:rsid w:val="2B58C6C5"/>
    <w:rsid w:val="2BE079CF"/>
    <w:rsid w:val="2C56E3A3"/>
    <w:rsid w:val="2C73D920"/>
    <w:rsid w:val="2D02A5BC"/>
    <w:rsid w:val="2D439BC1"/>
    <w:rsid w:val="2D565370"/>
    <w:rsid w:val="2D9CF077"/>
    <w:rsid w:val="2E3B635D"/>
    <w:rsid w:val="2E435959"/>
    <w:rsid w:val="2EF8E9FB"/>
    <w:rsid w:val="2F0D3677"/>
    <w:rsid w:val="2F465E77"/>
    <w:rsid w:val="2F62F293"/>
    <w:rsid w:val="2F6B0A81"/>
    <w:rsid w:val="2F9B002C"/>
    <w:rsid w:val="2FDC06D7"/>
    <w:rsid w:val="303A6C6A"/>
    <w:rsid w:val="30AA8EDA"/>
    <w:rsid w:val="30BAF0EC"/>
    <w:rsid w:val="30DC1505"/>
    <w:rsid w:val="3149B3D4"/>
    <w:rsid w:val="3202E47C"/>
    <w:rsid w:val="32A13F0B"/>
    <w:rsid w:val="337AD9D9"/>
    <w:rsid w:val="339E5FC1"/>
    <w:rsid w:val="33A7BE22"/>
    <w:rsid w:val="33F99604"/>
    <w:rsid w:val="34063727"/>
    <w:rsid w:val="343F9993"/>
    <w:rsid w:val="352601FE"/>
    <w:rsid w:val="35491DF4"/>
    <w:rsid w:val="357CF81E"/>
    <w:rsid w:val="359042E8"/>
    <w:rsid w:val="3598BD8D"/>
    <w:rsid w:val="3697536F"/>
    <w:rsid w:val="37780307"/>
    <w:rsid w:val="37856A47"/>
    <w:rsid w:val="37D93C42"/>
    <w:rsid w:val="3836EE28"/>
    <w:rsid w:val="384E333D"/>
    <w:rsid w:val="3878C3B4"/>
    <w:rsid w:val="38845FC5"/>
    <w:rsid w:val="38B622EE"/>
    <w:rsid w:val="38B9823E"/>
    <w:rsid w:val="390F957B"/>
    <w:rsid w:val="39B8AE59"/>
    <w:rsid w:val="39C6BA54"/>
    <w:rsid w:val="39E51FC3"/>
    <w:rsid w:val="39F1AE0E"/>
    <w:rsid w:val="3A169BC6"/>
    <w:rsid w:val="3A538C70"/>
    <w:rsid w:val="3B30636E"/>
    <w:rsid w:val="3B36C76C"/>
    <w:rsid w:val="3B72C487"/>
    <w:rsid w:val="3BE321CE"/>
    <w:rsid w:val="3C026A13"/>
    <w:rsid w:val="3C880C1B"/>
    <w:rsid w:val="3CAE1FBF"/>
    <w:rsid w:val="3D79E99A"/>
    <w:rsid w:val="3D83BC34"/>
    <w:rsid w:val="3E1882BF"/>
    <w:rsid w:val="3E76F47C"/>
    <w:rsid w:val="3EA49CBD"/>
    <w:rsid w:val="3EAB3259"/>
    <w:rsid w:val="3ED25982"/>
    <w:rsid w:val="3F303011"/>
    <w:rsid w:val="3F4C3465"/>
    <w:rsid w:val="3F5CF697"/>
    <w:rsid w:val="3F5F552E"/>
    <w:rsid w:val="3F7902FA"/>
    <w:rsid w:val="400B2584"/>
    <w:rsid w:val="4078C045"/>
    <w:rsid w:val="4124D221"/>
    <w:rsid w:val="4126A689"/>
    <w:rsid w:val="4148053B"/>
    <w:rsid w:val="418CAFA0"/>
    <w:rsid w:val="4202CD1B"/>
    <w:rsid w:val="422836D6"/>
    <w:rsid w:val="42426728"/>
    <w:rsid w:val="42936E1F"/>
    <w:rsid w:val="42ED0341"/>
    <w:rsid w:val="43A7689D"/>
    <w:rsid w:val="44432CB4"/>
    <w:rsid w:val="447D7375"/>
    <w:rsid w:val="44B31E2D"/>
    <w:rsid w:val="4515D58F"/>
    <w:rsid w:val="4557FB02"/>
    <w:rsid w:val="458A9CD5"/>
    <w:rsid w:val="45A5ACFC"/>
    <w:rsid w:val="45AA2881"/>
    <w:rsid w:val="45EBD2F7"/>
    <w:rsid w:val="46C0B1CC"/>
    <w:rsid w:val="474412CA"/>
    <w:rsid w:val="47E2AC1E"/>
    <w:rsid w:val="47FBD6C7"/>
    <w:rsid w:val="4805A854"/>
    <w:rsid w:val="486D3CAB"/>
    <w:rsid w:val="48AE5958"/>
    <w:rsid w:val="48BB990C"/>
    <w:rsid w:val="48DC3316"/>
    <w:rsid w:val="494CD5A0"/>
    <w:rsid w:val="49505C2F"/>
    <w:rsid w:val="49941260"/>
    <w:rsid w:val="4996487B"/>
    <w:rsid w:val="49DD737F"/>
    <w:rsid w:val="4A1AEA01"/>
    <w:rsid w:val="4A52F1B9"/>
    <w:rsid w:val="4B6D6A07"/>
    <w:rsid w:val="4BC9E15D"/>
    <w:rsid w:val="4BDF3008"/>
    <w:rsid w:val="4C5F75A7"/>
    <w:rsid w:val="4C8A1BAF"/>
    <w:rsid w:val="4CA282BC"/>
    <w:rsid w:val="4CD95D72"/>
    <w:rsid w:val="4D0E1E79"/>
    <w:rsid w:val="4D47F2D4"/>
    <w:rsid w:val="4D64DCFB"/>
    <w:rsid w:val="4D836FA2"/>
    <w:rsid w:val="4DAAAD58"/>
    <w:rsid w:val="4E594877"/>
    <w:rsid w:val="4EAAF8FA"/>
    <w:rsid w:val="4F2743C3"/>
    <w:rsid w:val="4F6ABC9D"/>
    <w:rsid w:val="4F7AFD02"/>
    <w:rsid w:val="504DEEB1"/>
    <w:rsid w:val="50870DA9"/>
    <w:rsid w:val="50AAC274"/>
    <w:rsid w:val="510952AD"/>
    <w:rsid w:val="5178B96F"/>
    <w:rsid w:val="51CF7ED7"/>
    <w:rsid w:val="5208EE0C"/>
    <w:rsid w:val="5288EB78"/>
    <w:rsid w:val="528F30FC"/>
    <w:rsid w:val="52ABE5D6"/>
    <w:rsid w:val="530815CA"/>
    <w:rsid w:val="532C9019"/>
    <w:rsid w:val="53456F09"/>
    <w:rsid w:val="53670847"/>
    <w:rsid w:val="5368C383"/>
    <w:rsid w:val="5378A103"/>
    <w:rsid w:val="53974435"/>
    <w:rsid w:val="541D1050"/>
    <w:rsid w:val="54441091"/>
    <w:rsid w:val="544DDAFD"/>
    <w:rsid w:val="548BFEF1"/>
    <w:rsid w:val="553F9152"/>
    <w:rsid w:val="556A14F9"/>
    <w:rsid w:val="560CC12D"/>
    <w:rsid w:val="563010B9"/>
    <w:rsid w:val="5661CB17"/>
    <w:rsid w:val="56724DA3"/>
    <w:rsid w:val="572DC53D"/>
    <w:rsid w:val="57409741"/>
    <w:rsid w:val="57CC2A72"/>
    <w:rsid w:val="57D8AAD7"/>
    <w:rsid w:val="57DDA3D4"/>
    <w:rsid w:val="5885B51A"/>
    <w:rsid w:val="59B004EB"/>
    <w:rsid w:val="59BD0A18"/>
    <w:rsid w:val="5A2676BE"/>
    <w:rsid w:val="5B1E5F88"/>
    <w:rsid w:val="5C43665F"/>
    <w:rsid w:val="5C6B0302"/>
    <w:rsid w:val="5D424385"/>
    <w:rsid w:val="5D5C36E2"/>
    <w:rsid w:val="5D662400"/>
    <w:rsid w:val="5DCECC3D"/>
    <w:rsid w:val="5DD907B0"/>
    <w:rsid w:val="5DD9F5D0"/>
    <w:rsid w:val="5DDE6336"/>
    <w:rsid w:val="5E051208"/>
    <w:rsid w:val="5E8D42CE"/>
    <w:rsid w:val="5EC74102"/>
    <w:rsid w:val="5F122A8E"/>
    <w:rsid w:val="5F284E1F"/>
    <w:rsid w:val="5F8CE3CE"/>
    <w:rsid w:val="5FB1ACB4"/>
    <w:rsid w:val="5FF946DE"/>
    <w:rsid w:val="600511F1"/>
    <w:rsid w:val="601431D7"/>
    <w:rsid w:val="6056D6B8"/>
    <w:rsid w:val="60AB6F25"/>
    <w:rsid w:val="60E7C1E6"/>
    <w:rsid w:val="61339D31"/>
    <w:rsid w:val="61621253"/>
    <w:rsid w:val="61B2D1C0"/>
    <w:rsid w:val="61CBE251"/>
    <w:rsid w:val="61DB87D0"/>
    <w:rsid w:val="61FCDA2B"/>
    <w:rsid w:val="623461D1"/>
    <w:rsid w:val="6251DF9E"/>
    <w:rsid w:val="629982F7"/>
    <w:rsid w:val="62C8C72A"/>
    <w:rsid w:val="632F2C41"/>
    <w:rsid w:val="63C21F51"/>
    <w:rsid w:val="6459C8CE"/>
    <w:rsid w:val="6494E1BB"/>
    <w:rsid w:val="64A15D18"/>
    <w:rsid w:val="64BA3DCB"/>
    <w:rsid w:val="64D0C0B0"/>
    <w:rsid w:val="64D0E457"/>
    <w:rsid w:val="64DF47A5"/>
    <w:rsid w:val="64E1D6AF"/>
    <w:rsid w:val="64E22490"/>
    <w:rsid w:val="65223D15"/>
    <w:rsid w:val="654D8862"/>
    <w:rsid w:val="657D5700"/>
    <w:rsid w:val="65C963AF"/>
    <w:rsid w:val="6615633C"/>
    <w:rsid w:val="669E2D08"/>
    <w:rsid w:val="66BBAC14"/>
    <w:rsid w:val="66E93378"/>
    <w:rsid w:val="67010C0E"/>
    <w:rsid w:val="680169F3"/>
    <w:rsid w:val="680B96B6"/>
    <w:rsid w:val="681B1BC8"/>
    <w:rsid w:val="6847DCA0"/>
    <w:rsid w:val="687099D3"/>
    <w:rsid w:val="68851758"/>
    <w:rsid w:val="699EDE32"/>
    <w:rsid w:val="69F8FF30"/>
    <w:rsid w:val="69FE89AC"/>
    <w:rsid w:val="6A62B5CB"/>
    <w:rsid w:val="6A80BB04"/>
    <w:rsid w:val="6A95BFD0"/>
    <w:rsid w:val="6B10E83C"/>
    <w:rsid w:val="6B227EA9"/>
    <w:rsid w:val="6B37967E"/>
    <w:rsid w:val="6B3FC4FB"/>
    <w:rsid w:val="6B51CE46"/>
    <w:rsid w:val="6C01F99E"/>
    <w:rsid w:val="6C118285"/>
    <w:rsid w:val="6C63777B"/>
    <w:rsid w:val="6D10B51A"/>
    <w:rsid w:val="6D25F9DB"/>
    <w:rsid w:val="6D265C4F"/>
    <w:rsid w:val="6D751F83"/>
    <w:rsid w:val="6D9504CC"/>
    <w:rsid w:val="6DBBA454"/>
    <w:rsid w:val="6E55C410"/>
    <w:rsid w:val="6E7A8AD5"/>
    <w:rsid w:val="6E84CD96"/>
    <w:rsid w:val="6F2AE120"/>
    <w:rsid w:val="6FD141A1"/>
    <w:rsid w:val="702EED43"/>
    <w:rsid w:val="706BFB3A"/>
    <w:rsid w:val="710290A5"/>
    <w:rsid w:val="710732C5"/>
    <w:rsid w:val="715CF727"/>
    <w:rsid w:val="71AB8BC4"/>
    <w:rsid w:val="71FD941C"/>
    <w:rsid w:val="721EBDBA"/>
    <w:rsid w:val="723DD0AF"/>
    <w:rsid w:val="7259F46E"/>
    <w:rsid w:val="72AEDCEF"/>
    <w:rsid w:val="72D134A6"/>
    <w:rsid w:val="7316CDC4"/>
    <w:rsid w:val="741E5CC8"/>
    <w:rsid w:val="741ECD68"/>
    <w:rsid w:val="74769E50"/>
    <w:rsid w:val="74EECA9E"/>
    <w:rsid w:val="754F7DBD"/>
    <w:rsid w:val="7660CF3B"/>
    <w:rsid w:val="768D3EE4"/>
    <w:rsid w:val="76A5356F"/>
    <w:rsid w:val="76AE2BC2"/>
    <w:rsid w:val="76B6A321"/>
    <w:rsid w:val="76CD618F"/>
    <w:rsid w:val="770C52CD"/>
    <w:rsid w:val="7720AFCF"/>
    <w:rsid w:val="7726594B"/>
    <w:rsid w:val="77524848"/>
    <w:rsid w:val="775712EF"/>
    <w:rsid w:val="77730F0A"/>
    <w:rsid w:val="77B31AB5"/>
    <w:rsid w:val="77B751B8"/>
    <w:rsid w:val="77DDEC37"/>
    <w:rsid w:val="7859492E"/>
    <w:rsid w:val="78AA4D84"/>
    <w:rsid w:val="78D05957"/>
    <w:rsid w:val="78EE996A"/>
    <w:rsid w:val="7975DB1F"/>
    <w:rsid w:val="79814C36"/>
    <w:rsid w:val="799F9C3E"/>
    <w:rsid w:val="79A59555"/>
    <w:rsid w:val="79ADFABE"/>
    <w:rsid w:val="79F42481"/>
    <w:rsid w:val="79F9E14B"/>
    <w:rsid w:val="7A57A971"/>
    <w:rsid w:val="7BB1CEBA"/>
    <w:rsid w:val="7C096F5E"/>
    <w:rsid w:val="7C14750C"/>
    <w:rsid w:val="7C9BC133"/>
    <w:rsid w:val="7CC3DFF2"/>
    <w:rsid w:val="7D225ECE"/>
    <w:rsid w:val="7D6E1623"/>
    <w:rsid w:val="7DB54A67"/>
    <w:rsid w:val="7DD9B8CB"/>
    <w:rsid w:val="7E08A356"/>
    <w:rsid w:val="7E448B40"/>
    <w:rsid w:val="7E4E556E"/>
    <w:rsid w:val="7EA1AA85"/>
    <w:rsid w:val="7EAE43EC"/>
    <w:rsid w:val="7ED043CE"/>
    <w:rsid w:val="7FD1B2B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name="toc 4"/>
    <w:lsdException w:unhideWhenUsed="0" w:uiPriority="39" w:name="toc 5"/>
    <w:lsdException w:unhideWhenUsed="0" w:uiPriority="39" w:name="toc 6"/>
    <w:lsdException w:unhideWhenUsed="0" w:uiPriority="39" w:name="toc 7"/>
    <w:lsdException w:unhideWhenUsed="0" w:uiPriority="39" w:name="toc 8"/>
    <w:lsdException w:unhideWhenUsed="0"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qFormat="1" w:unhideWhenUsed="0" w:uiPriority="99" w:semiHidden="0" w:name="List Bullet 2"/>
    <w:lsdException w:uiPriority="99" w:name="List Bullet 3"/>
    <w:lsdException w:uiPriority="99" w:name="List Bullet 4"/>
    <w:lsdException w:uiPriority="99" w:name="List Bullet 5"/>
    <w:lsdException w:unhideWhenUsed="0"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88" w:lineRule="auto"/>
    </w:pPr>
    <w:rPr>
      <w:rFonts w:asciiTheme="minorHAnsi" w:hAnsiTheme="minorHAnsi" w:eastAsiaTheme="minorHAnsi" w:cstheme="minorBidi"/>
      <w:color w:val="595959" w:themeColor="text1" w:themeTint="A6"/>
      <w:sz w:val="24"/>
      <w:szCs w:val="22"/>
      <w:lang w:val="en-US" w:eastAsia="en-US" w:bidi="ar-SA"/>
      <w14:textFill>
        <w14:solidFill>
          <w14:schemeClr w14:val="tx1">
            <w14:lumMod w14:val="65000"/>
            <w14:lumOff w14:val="35000"/>
          </w14:schemeClr>
        </w14:solidFill>
      </w14:textFill>
    </w:rPr>
  </w:style>
  <w:style w:type="paragraph" w:styleId="2">
    <w:name w:val="heading 1"/>
    <w:basedOn w:val="1"/>
    <w:next w:val="1"/>
    <w:link w:val="31"/>
    <w:qFormat/>
    <w:uiPriority w:val="9"/>
    <w:pPr>
      <w:keepNext/>
      <w:keepLines/>
      <w:spacing w:before="240"/>
      <w:outlineLvl w:val="0"/>
    </w:pPr>
    <w:rPr>
      <w:rFonts w:asciiTheme="majorHAnsi" w:hAnsiTheme="majorHAnsi" w:eastAsiaTheme="majorEastAsia" w:cstheme="majorBidi"/>
      <w:b/>
      <w:caps/>
      <w:color w:val="107082" w:themeColor="accent2"/>
      <w:sz w:val="44"/>
      <w:szCs w:val="32"/>
      <w14:textFill>
        <w14:solidFill>
          <w14:schemeClr w14:val="accent2"/>
        </w14:solidFill>
      </w14:textFill>
    </w:rPr>
  </w:style>
  <w:style w:type="paragraph" w:styleId="3">
    <w:name w:val="heading 2"/>
    <w:basedOn w:val="1"/>
    <w:next w:val="1"/>
    <w:link w:val="38"/>
    <w:qFormat/>
    <w:uiPriority w:val="9"/>
    <w:pPr>
      <w:spacing w:line="240" w:lineRule="auto"/>
      <w:outlineLvl w:val="1"/>
    </w:pPr>
    <w:rPr>
      <w:rFonts w:asciiTheme="majorHAnsi" w:hAnsiTheme="majorHAnsi"/>
      <w:b/>
      <w:color w:val="D27506" w:themeColor="accent5" w:themeShade="BF"/>
      <w:sz w:val="40"/>
      <w:szCs w:val="36"/>
    </w:rPr>
  </w:style>
  <w:style w:type="paragraph" w:styleId="4">
    <w:name w:val="heading 3"/>
    <w:basedOn w:val="1"/>
    <w:next w:val="1"/>
    <w:link w:val="39"/>
    <w:semiHidden/>
    <w:qFormat/>
    <w:uiPriority w:val="9"/>
    <w:pPr>
      <w:keepNext/>
      <w:keepLines/>
      <w:spacing w:before="40" w:after="0"/>
      <w:outlineLvl w:val="2"/>
    </w:pPr>
    <w:rPr>
      <w:rFonts w:asciiTheme="majorHAnsi" w:hAnsiTheme="majorHAnsi" w:eastAsiaTheme="majorEastAsia" w:cstheme="majorBidi"/>
      <w:color w:val="AD6D1C" w:themeColor="accent1" w:themeShade="80"/>
      <w:szCs w:val="24"/>
    </w:rPr>
  </w:style>
  <w:style w:type="paragraph" w:styleId="5">
    <w:name w:val="heading 4"/>
    <w:basedOn w:val="1"/>
    <w:next w:val="1"/>
    <w:link w:val="40"/>
    <w:semiHidden/>
    <w:qFormat/>
    <w:uiPriority w:val="9"/>
    <w:pPr>
      <w:keepNext/>
      <w:keepLines/>
      <w:spacing w:before="40" w:after="0"/>
      <w:outlineLvl w:val="3"/>
    </w:pPr>
    <w:rPr>
      <w:rFonts w:asciiTheme="majorHAnsi" w:hAnsiTheme="majorHAnsi" w:eastAsiaTheme="majorEastAsia" w:cstheme="majorBidi"/>
      <w:i/>
      <w:iCs/>
      <w:color w:val="E29F4B"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7"/>
    <w:semiHidden/>
    <w:unhideWhenUsed/>
    <w:qFormat/>
    <w:uiPriority w:val="99"/>
    <w:pPr>
      <w:spacing w:after="0"/>
    </w:pPr>
    <w:rPr>
      <w:rFonts w:ascii="Segoe UI" w:hAnsi="Segoe UI" w:cs="Segoe UI"/>
      <w:sz w:val="18"/>
      <w:szCs w:val="18"/>
    </w:rPr>
  </w:style>
  <w:style w:type="character" w:styleId="9">
    <w:name w:val="annotation reference"/>
    <w:basedOn w:val="6"/>
    <w:semiHidden/>
    <w:unhideWhenUsed/>
    <w:qFormat/>
    <w:uiPriority w:val="99"/>
    <w:rPr>
      <w:sz w:val="16"/>
      <w:szCs w:val="16"/>
    </w:rPr>
  </w:style>
  <w:style w:type="character" w:styleId="10">
    <w:name w:val="Emphasis"/>
    <w:semiHidden/>
    <w:qFormat/>
    <w:uiPriority w:val="20"/>
    <w:rPr>
      <w:rFonts w:cstheme="minorHAnsi"/>
      <w:i/>
      <w:color w:val="262626" w:themeColor="text1" w:themeTint="D9"/>
      <w14:textFill>
        <w14:solidFill>
          <w14:schemeClr w14:val="tx1">
            <w14:lumMod w14:val="85000"/>
            <w14:lumOff w14:val="15000"/>
          </w14:schemeClr>
        </w14:solidFill>
      </w14:textFill>
    </w:rPr>
  </w:style>
  <w:style w:type="character" w:styleId="11">
    <w:name w:val="FollowedHyperlink"/>
    <w:basedOn w:val="6"/>
    <w:semiHidden/>
    <w:unhideWhenUsed/>
    <w:qFormat/>
    <w:uiPriority w:val="99"/>
    <w:rPr>
      <w:color w:val="000000" w:themeColor="followedHyperlink"/>
      <w:u w:val="single"/>
      <w14:textFill>
        <w14:solidFill>
          <w14:schemeClr w14:val="folHlink"/>
        </w14:solidFill>
      </w14:textFill>
    </w:rPr>
  </w:style>
  <w:style w:type="paragraph" w:styleId="12">
    <w:name w:val="footer"/>
    <w:basedOn w:val="1"/>
    <w:link w:val="27"/>
    <w:qFormat/>
    <w:uiPriority w:val="99"/>
    <w:pPr>
      <w:pBdr>
        <w:top w:val="single" w:color="F0CDA1" w:themeColor="accent1" w:sz="8" w:space="1"/>
      </w:pBdr>
      <w:tabs>
        <w:tab w:val="right" w:pos="10800"/>
      </w:tabs>
      <w:spacing w:after="0" w:line="240" w:lineRule="auto"/>
    </w:pPr>
    <w:rPr>
      <w:sz w:val="18"/>
    </w:rPr>
  </w:style>
  <w:style w:type="paragraph" w:styleId="13">
    <w:name w:val="header"/>
    <w:basedOn w:val="1"/>
    <w:link w:val="26"/>
    <w:qFormat/>
    <w:uiPriority w:val="99"/>
    <w:pPr>
      <w:spacing w:after="0"/>
    </w:pPr>
    <w:rPr>
      <w:rFonts w:asciiTheme="majorHAnsi" w:hAnsiTheme="majorHAnsi"/>
      <w:b/>
      <w:caps/>
      <w:color w:val="107082" w:themeColor="accent2"/>
      <w:sz w:val="28"/>
      <w14:textFill>
        <w14:solidFill>
          <w14:schemeClr w14:val="accent2"/>
        </w14:solidFill>
      </w14:textFill>
    </w:rPr>
  </w:style>
  <w:style w:type="character" w:styleId="14">
    <w:name w:val="Hyperlink"/>
    <w:basedOn w:val="6"/>
    <w:qFormat/>
    <w:uiPriority w:val="99"/>
    <w:rPr>
      <w:color w:val="000000" w:themeColor="hyperlink"/>
      <w:u w:val="single"/>
      <w14:textFill>
        <w14:solidFill>
          <w14:schemeClr w14:val="hlink"/>
        </w14:solidFill>
      </w14:textFill>
    </w:rPr>
  </w:style>
  <w:style w:type="paragraph" w:styleId="15">
    <w:name w:val="List Bullet"/>
    <w:basedOn w:val="1"/>
    <w:qFormat/>
    <w:uiPriority w:val="99"/>
    <w:pPr>
      <w:numPr>
        <w:ilvl w:val="0"/>
        <w:numId w:val="1"/>
      </w:numPr>
      <w:spacing w:before="0" w:after="200" w:line="276" w:lineRule="auto"/>
      <w:ind w:left="340" w:hanging="340"/>
    </w:pPr>
  </w:style>
  <w:style w:type="paragraph" w:styleId="16">
    <w:name w:val="List Bullet 2"/>
    <w:basedOn w:val="1"/>
    <w:qFormat/>
    <w:uiPriority w:val="99"/>
    <w:pPr>
      <w:numPr>
        <w:ilvl w:val="0"/>
        <w:numId w:val="2"/>
      </w:numPr>
      <w:spacing w:before="0"/>
    </w:pPr>
  </w:style>
  <w:style w:type="paragraph" w:styleId="17">
    <w:name w:val="List Number"/>
    <w:basedOn w:val="1"/>
    <w:qFormat/>
    <w:uiPriority w:val="99"/>
    <w:pPr>
      <w:numPr>
        <w:ilvl w:val="0"/>
        <w:numId w:val="3"/>
      </w:numPr>
      <w:spacing w:before="0" w:after="200" w:line="276" w:lineRule="auto"/>
      <w:ind w:left="340" w:hanging="340"/>
    </w:p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color w:val="auto"/>
      <w:szCs w:val="24"/>
      <w:lang w:val="en-IN" w:eastAsia="en-IN"/>
    </w:rPr>
  </w:style>
  <w:style w:type="character" w:styleId="19">
    <w:name w:val="Strong"/>
    <w:basedOn w:val="6"/>
    <w:qFormat/>
    <w:uiPriority w:val="22"/>
    <w:rPr>
      <w:b/>
      <w:bCs/>
    </w:rPr>
  </w:style>
  <w:style w:type="paragraph" w:styleId="20">
    <w:name w:val="Subtitle"/>
    <w:basedOn w:val="1"/>
    <w:next w:val="1"/>
    <w:link w:val="30"/>
    <w:qFormat/>
    <w:uiPriority w:val="11"/>
    <w:pPr>
      <w:spacing w:after="0"/>
      <w:jc w:val="center"/>
    </w:pPr>
    <w:rPr>
      <w:rFonts w:eastAsiaTheme="minorEastAsia"/>
      <w:b/>
      <w:i/>
      <w:color w:val="F0CDA1" w:themeColor="accent1"/>
      <w:spacing w:val="15"/>
      <w:sz w:val="48"/>
      <w14:textFill>
        <w14:solidFill>
          <w14:schemeClr w14:val="accent1"/>
        </w14:solidFill>
      </w14:textFill>
    </w:rPr>
  </w:style>
  <w:style w:type="table" w:styleId="21">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29"/>
    <w:qFormat/>
    <w:uiPriority w:val="10"/>
    <w:pPr>
      <w:spacing w:after="0"/>
      <w:contextualSpacing/>
      <w:jc w:val="center"/>
    </w:pPr>
    <w:rPr>
      <w:rFonts w:asciiTheme="majorHAnsi" w:hAnsiTheme="majorHAnsi" w:eastAsiaTheme="majorEastAsia" w:cstheme="majorBidi"/>
      <w:b/>
      <w:caps/>
      <w:color w:val="auto"/>
      <w:spacing w:val="-10"/>
      <w:kern w:val="28"/>
      <w:sz w:val="96"/>
      <w:szCs w:val="56"/>
    </w:rPr>
  </w:style>
  <w:style w:type="paragraph" w:styleId="23">
    <w:name w:val="toc 1"/>
    <w:basedOn w:val="1"/>
    <w:next w:val="1"/>
    <w:autoRedefine/>
    <w:qFormat/>
    <w:uiPriority w:val="39"/>
    <w:pPr>
      <w:tabs>
        <w:tab w:val="left" w:pos="440"/>
        <w:tab w:val="right" w:pos="4901"/>
        <w:tab w:val="right" w:leader="dot" w:pos="10790"/>
      </w:tabs>
      <w:spacing w:after="100"/>
      <w:ind w:right="259"/>
    </w:pPr>
  </w:style>
  <w:style w:type="paragraph" w:styleId="24">
    <w:name w:val="toc 2"/>
    <w:basedOn w:val="1"/>
    <w:next w:val="1"/>
    <w:autoRedefine/>
    <w:qFormat/>
    <w:uiPriority w:val="39"/>
    <w:pPr>
      <w:tabs>
        <w:tab w:val="right" w:leader="dot" w:pos="4905"/>
      </w:tabs>
      <w:spacing w:after="100"/>
      <w:ind w:left="360"/>
    </w:pPr>
  </w:style>
  <w:style w:type="paragraph" w:styleId="25">
    <w:name w:val="toc 3"/>
    <w:basedOn w:val="1"/>
    <w:next w:val="1"/>
    <w:autoRedefine/>
    <w:qFormat/>
    <w:uiPriority w:val="39"/>
    <w:pPr>
      <w:spacing w:after="100"/>
      <w:ind w:left="480"/>
    </w:pPr>
  </w:style>
  <w:style w:type="character" w:customStyle="1" w:styleId="26">
    <w:name w:val="Header Char"/>
    <w:basedOn w:val="6"/>
    <w:link w:val="13"/>
    <w:qFormat/>
    <w:uiPriority w:val="99"/>
    <w:rPr>
      <w:rFonts w:asciiTheme="majorHAnsi" w:hAnsiTheme="majorHAnsi"/>
      <w:b/>
      <w:caps/>
      <w:color w:val="107082" w:themeColor="accent2"/>
      <w:sz w:val="28"/>
      <w14:textFill>
        <w14:solidFill>
          <w14:schemeClr w14:val="accent2"/>
        </w14:solidFill>
      </w14:textFill>
    </w:rPr>
  </w:style>
  <w:style w:type="character" w:customStyle="1" w:styleId="27">
    <w:name w:val="Footer Char"/>
    <w:basedOn w:val="6"/>
    <w:link w:val="12"/>
    <w:qFormat/>
    <w:uiPriority w:val="99"/>
    <w:rPr>
      <w:color w:val="595959" w:themeColor="text1" w:themeTint="A6"/>
      <w:sz w:val="18"/>
      <w14:textFill>
        <w14:solidFill>
          <w14:schemeClr w14:val="tx1">
            <w14:lumMod w14:val="65000"/>
            <w14:lumOff w14:val="35000"/>
          </w14:schemeClr>
        </w14:solidFill>
      </w14:textFill>
    </w:rPr>
  </w:style>
  <w:style w:type="character" w:styleId="28">
    <w:name w:val="Placeholder Text"/>
    <w:basedOn w:val="6"/>
    <w:semiHidden/>
    <w:qFormat/>
    <w:uiPriority w:val="99"/>
    <w:rPr>
      <w:color w:val="808080"/>
    </w:rPr>
  </w:style>
  <w:style w:type="character" w:customStyle="1" w:styleId="29">
    <w:name w:val="Title Char"/>
    <w:basedOn w:val="6"/>
    <w:link w:val="22"/>
    <w:qFormat/>
    <w:uiPriority w:val="10"/>
    <w:rPr>
      <w:rFonts w:asciiTheme="majorHAnsi" w:hAnsiTheme="majorHAnsi" w:eastAsiaTheme="majorEastAsia" w:cstheme="majorBidi"/>
      <w:b/>
      <w:caps/>
      <w:spacing w:val="-10"/>
      <w:kern w:val="28"/>
      <w:sz w:val="96"/>
      <w:szCs w:val="56"/>
    </w:rPr>
  </w:style>
  <w:style w:type="character" w:customStyle="1" w:styleId="30">
    <w:name w:val="Subtitle Char"/>
    <w:basedOn w:val="6"/>
    <w:link w:val="20"/>
    <w:qFormat/>
    <w:uiPriority w:val="11"/>
    <w:rPr>
      <w:rFonts w:eastAsiaTheme="minorEastAsia"/>
      <w:b/>
      <w:i/>
      <w:color w:val="F0CDA1" w:themeColor="accent1"/>
      <w:spacing w:val="15"/>
      <w:sz w:val="48"/>
      <w14:textFill>
        <w14:solidFill>
          <w14:schemeClr w14:val="accent1"/>
        </w14:solidFill>
      </w14:textFill>
    </w:rPr>
  </w:style>
  <w:style w:type="character" w:customStyle="1" w:styleId="31">
    <w:name w:val="Heading 1 Char"/>
    <w:basedOn w:val="6"/>
    <w:link w:val="2"/>
    <w:qFormat/>
    <w:uiPriority w:val="9"/>
    <w:rPr>
      <w:rFonts w:asciiTheme="majorHAnsi" w:hAnsiTheme="majorHAnsi" w:eastAsiaTheme="majorEastAsia" w:cstheme="majorBidi"/>
      <w:b/>
      <w:caps/>
      <w:color w:val="107082" w:themeColor="accent2"/>
      <w:sz w:val="44"/>
      <w:szCs w:val="32"/>
      <w14:textFill>
        <w14:solidFill>
          <w14:schemeClr w14:val="accent2"/>
        </w14:solidFill>
      </w14:textFill>
    </w:rPr>
  </w:style>
  <w:style w:type="paragraph" w:customStyle="1" w:styleId="32">
    <w:name w:val="Default"/>
    <w:semiHidden/>
    <w:qForma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 w:type="character" w:customStyle="1" w:styleId="33">
    <w:name w:val="A3"/>
    <w:semiHidden/>
    <w:qFormat/>
    <w:uiPriority w:val="99"/>
    <w:rPr>
      <w:i/>
      <w:iCs/>
      <w:color w:val="545758"/>
      <w:sz w:val="28"/>
      <w:szCs w:val="28"/>
    </w:rPr>
  </w:style>
  <w:style w:type="paragraph" w:styleId="34">
    <w:name w:val="List Paragraph"/>
    <w:basedOn w:val="1"/>
    <w:qFormat/>
    <w:uiPriority w:val="34"/>
    <w:pPr>
      <w:ind w:left="720"/>
      <w:contextualSpacing/>
    </w:pPr>
  </w:style>
  <w:style w:type="character" w:customStyle="1" w:styleId="35">
    <w:name w:val="Subtle Emphasis"/>
    <w:semiHidden/>
    <w:qFormat/>
    <w:uiPriority w:val="19"/>
    <w:rPr>
      <w:rFonts w:asciiTheme="majorHAnsi" w:hAnsiTheme="majorHAnsi"/>
      <w:b/>
      <w:color w:val="107082" w:themeColor="accent2"/>
      <w:sz w:val="28"/>
      <w14:textFill>
        <w14:solidFill>
          <w14:schemeClr w14:val="accent2"/>
        </w14:solidFill>
      </w14:textFill>
    </w:rPr>
  </w:style>
  <w:style w:type="character" w:customStyle="1" w:styleId="36">
    <w:name w:val="Intense Emphasis"/>
    <w:semiHidden/>
    <w:qFormat/>
    <w:uiPriority w:val="21"/>
    <w:rPr>
      <w:color w:val="595959" w:themeColor="text1" w:themeTint="A6"/>
      <w:sz w:val="20"/>
      <w14:textFill>
        <w14:solidFill>
          <w14:schemeClr w14:val="tx1">
            <w14:lumMod w14:val="65000"/>
            <w14:lumOff w14:val="35000"/>
          </w14:schemeClr>
        </w14:solidFill>
      </w14:textFill>
    </w:rPr>
  </w:style>
  <w:style w:type="character" w:customStyle="1" w:styleId="37">
    <w:name w:val="Balloon Text Char"/>
    <w:basedOn w:val="6"/>
    <w:link w:val="8"/>
    <w:semiHidden/>
    <w:qFormat/>
    <w:uiPriority w:val="99"/>
    <w:rPr>
      <w:rFonts w:ascii="Segoe UI" w:hAnsi="Segoe UI" w:cs="Segoe UI"/>
      <w:i/>
      <w:color w:val="595959" w:themeColor="text1" w:themeTint="A6"/>
      <w:sz w:val="18"/>
      <w:szCs w:val="18"/>
      <w14:textFill>
        <w14:solidFill>
          <w14:schemeClr w14:val="tx1">
            <w14:lumMod w14:val="65000"/>
            <w14:lumOff w14:val="35000"/>
          </w14:schemeClr>
        </w14:solidFill>
      </w14:textFill>
    </w:rPr>
  </w:style>
  <w:style w:type="character" w:customStyle="1" w:styleId="38">
    <w:name w:val="Heading 2 Char"/>
    <w:basedOn w:val="6"/>
    <w:link w:val="3"/>
    <w:qFormat/>
    <w:uiPriority w:val="9"/>
    <w:rPr>
      <w:rFonts w:asciiTheme="majorHAnsi" w:hAnsiTheme="majorHAnsi"/>
      <w:b/>
      <w:color w:val="D27506" w:themeColor="accent5" w:themeShade="BF"/>
      <w:sz w:val="40"/>
      <w:szCs w:val="36"/>
    </w:rPr>
  </w:style>
  <w:style w:type="character" w:customStyle="1" w:styleId="39">
    <w:name w:val="Heading 3 Char"/>
    <w:basedOn w:val="6"/>
    <w:link w:val="4"/>
    <w:semiHidden/>
    <w:qFormat/>
    <w:uiPriority w:val="9"/>
    <w:rPr>
      <w:rFonts w:asciiTheme="majorHAnsi" w:hAnsiTheme="majorHAnsi" w:eastAsiaTheme="majorEastAsia" w:cstheme="majorBidi"/>
      <w:color w:val="AD6D1C" w:themeColor="accent1" w:themeShade="80"/>
      <w:sz w:val="24"/>
      <w:szCs w:val="24"/>
    </w:rPr>
  </w:style>
  <w:style w:type="character" w:customStyle="1" w:styleId="40">
    <w:name w:val="Heading 4 Char"/>
    <w:basedOn w:val="6"/>
    <w:link w:val="5"/>
    <w:semiHidden/>
    <w:qFormat/>
    <w:uiPriority w:val="9"/>
    <w:rPr>
      <w:rFonts w:asciiTheme="majorHAnsi" w:hAnsiTheme="majorHAnsi" w:eastAsiaTheme="majorEastAsia" w:cstheme="majorBidi"/>
      <w:i/>
      <w:iCs/>
      <w:color w:val="E29F4B" w:themeColor="accent1" w:themeShade="BF"/>
      <w:sz w:val="24"/>
    </w:rPr>
  </w:style>
  <w:style w:type="paragraph" w:customStyle="1" w:styleId="41">
    <w:name w:val="TOC Heading"/>
    <w:basedOn w:val="1"/>
    <w:next w:val="1"/>
    <w:qFormat/>
    <w:uiPriority w:val="39"/>
    <w:pPr>
      <w:pBdr>
        <w:bottom w:val="single" w:color="F0CDA1" w:themeColor="accent1" w:sz="24" w:space="1"/>
      </w:pBdr>
    </w:pPr>
    <w:rPr>
      <w:rFonts w:asciiTheme="majorHAnsi" w:hAnsiTheme="majorHAnsi"/>
      <w:b/>
      <w:color w:val="107082" w:themeColor="accent2"/>
      <w:sz w:val="40"/>
      <w14:textFill>
        <w14:solidFill>
          <w14:schemeClr w14:val="accent2"/>
        </w14:solidFill>
      </w14:textFill>
    </w:rPr>
  </w:style>
  <w:style w:type="paragraph" w:styleId="42">
    <w:name w:val="No Spacing"/>
    <w:link w:val="59"/>
    <w:qFormat/>
    <w:uiPriority w:val="1"/>
    <w:pPr>
      <w:spacing w:after="0" w:line="240" w:lineRule="auto"/>
    </w:pPr>
    <w:rPr>
      <w:rFonts w:asciiTheme="minorHAnsi" w:hAnsiTheme="minorHAnsi" w:eastAsiaTheme="minorHAnsi" w:cstheme="minorBidi"/>
      <w:i/>
      <w:color w:val="595959" w:themeColor="text1" w:themeTint="A6"/>
      <w:sz w:val="24"/>
      <w:szCs w:val="22"/>
      <w:lang w:val="en-US" w:eastAsia="en-US" w:bidi="ar-SA"/>
      <w14:textFill>
        <w14:solidFill>
          <w14:schemeClr w14:val="tx1">
            <w14:lumMod w14:val="65000"/>
            <w14:lumOff w14:val="35000"/>
          </w14:schemeClr>
        </w14:solidFill>
      </w14:textFill>
    </w:rPr>
  </w:style>
  <w:style w:type="character" w:customStyle="1" w:styleId="43">
    <w:name w:val="Bold"/>
    <w:qFormat/>
    <w:uiPriority w:val="1"/>
    <w:rPr>
      <w:b/>
      <w:bCs/>
      <w:sz w:val="24"/>
      <w:szCs w:val="18"/>
    </w:rPr>
  </w:style>
  <w:style w:type="paragraph" w:customStyle="1" w:styleId="44">
    <w:name w:val="Graph heading 1"/>
    <w:basedOn w:val="1"/>
    <w:qFormat/>
    <w:uiPriority w:val="0"/>
    <w:pPr>
      <w:spacing w:after="60" w:line="240" w:lineRule="auto"/>
    </w:pPr>
    <w:rPr>
      <w:b/>
      <w:color w:val="054854" w:themeColor="accent3"/>
      <w14:textFill>
        <w14:solidFill>
          <w14:schemeClr w14:val="accent3"/>
        </w14:solidFill>
      </w14:textFill>
    </w:rPr>
  </w:style>
  <w:style w:type="paragraph" w:customStyle="1" w:styleId="45">
    <w:name w:val="Graph heading 2"/>
    <w:basedOn w:val="1"/>
    <w:qFormat/>
    <w:uiPriority w:val="0"/>
    <w:pPr>
      <w:spacing w:after="60" w:line="240" w:lineRule="auto"/>
    </w:pPr>
    <w:rPr>
      <w:b/>
      <w:color w:val="8C4E04" w:themeColor="accent5" w:themeShade="80"/>
    </w:rPr>
  </w:style>
  <w:style w:type="paragraph" w:customStyle="1" w:styleId="46">
    <w:name w:val="Graph heading 3"/>
    <w:basedOn w:val="1"/>
    <w:qFormat/>
    <w:uiPriority w:val="0"/>
    <w:pPr>
      <w:spacing w:after="60" w:line="240" w:lineRule="auto"/>
    </w:pPr>
    <w:rPr>
      <w:b/>
    </w:rPr>
  </w:style>
  <w:style w:type="paragraph" w:customStyle="1" w:styleId="47">
    <w:name w:val="Graph heading 4"/>
    <w:basedOn w:val="1"/>
    <w:qFormat/>
    <w:uiPriority w:val="0"/>
    <w:pPr>
      <w:spacing w:after="60" w:line="240" w:lineRule="auto"/>
    </w:pPr>
    <w:rPr>
      <w:b/>
      <w:color w:val="107082" w:themeColor="accent2"/>
      <w14:textFill>
        <w14:solidFill>
          <w14:schemeClr w14:val="accent2"/>
        </w14:solidFill>
      </w14:textFill>
    </w:rPr>
  </w:style>
  <w:style w:type="paragraph" w:customStyle="1" w:styleId="48">
    <w:name w:val="Graph bullet"/>
    <w:basedOn w:val="1"/>
    <w:qFormat/>
    <w:uiPriority w:val="0"/>
    <w:pPr>
      <w:numPr>
        <w:ilvl w:val="0"/>
        <w:numId w:val="4"/>
      </w:numPr>
      <w:spacing w:before="0" w:after="0" w:line="216" w:lineRule="auto"/>
      <w:ind w:left="284" w:hanging="284"/>
    </w:pPr>
    <w:rPr>
      <w:sz w:val="20"/>
    </w:rPr>
  </w:style>
  <w:style w:type="paragraph" w:customStyle="1" w:styleId="49">
    <w:name w:val="Graph bullet 2"/>
    <w:basedOn w:val="1"/>
    <w:qFormat/>
    <w:uiPriority w:val="0"/>
    <w:pPr>
      <w:numPr>
        <w:ilvl w:val="0"/>
        <w:numId w:val="5"/>
      </w:numPr>
      <w:spacing w:before="0" w:after="0" w:line="216" w:lineRule="auto"/>
      <w:ind w:left="288" w:hanging="288"/>
    </w:pPr>
    <w:rPr>
      <w:sz w:val="20"/>
    </w:rPr>
  </w:style>
  <w:style w:type="paragraph" w:customStyle="1" w:styleId="50">
    <w:name w:val="Graph bullet 3"/>
    <w:basedOn w:val="1"/>
    <w:qFormat/>
    <w:uiPriority w:val="0"/>
    <w:pPr>
      <w:numPr>
        <w:ilvl w:val="0"/>
        <w:numId w:val="6"/>
      </w:numPr>
      <w:spacing w:before="0" w:after="0" w:line="216" w:lineRule="auto"/>
      <w:ind w:left="288" w:hanging="288"/>
    </w:pPr>
    <w:rPr>
      <w:sz w:val="20"/>
    </w:rPr>
  </w:style>
  <w:style w:type="paragraph" w:customStyle="1" w:styleId="51">
    <w:name w:val="Graph bullet 4"/>
    <w:basedOn w:val="1"/>
    <w:qFormat/>
    <w:uiPriority w:val="0"/>
    <w:pPr>
      <w:numPr>
        <w:ilvl w:val="0"/>
        <w:numId w:val="7"/>
      </w:numPr>
      <w:spacing w:before="0" w:after="0" w:line="240" w:lineRule="auto"/>
      <w:ind w:left="284" w:hanging="284"/>
    </w:pPr>
    <w:rPr>
      <w:sz w:val="20"/>
    </w:rPr>
  </w:style>
  <w:style w:type="paragraph" w:customStyle="1" w:styleId="52">
    <w:name w:val="Table Text Large"/>
    <w:basedOn w:val="1"/>
    <w:qFormat/>
    <w:uiPriority w:val="0"/>
    <w:pPr>
      <w:spacing w:before="0" w:after="0" w:line="240" w:lineRule="auto"/>
    </w:pPr>
    <w:rPr>
      <w:sz w:val="18"/>
    </w:rPr>
  </w:style>
  <w:style w:type="paragraph" w:customStyle="1" w:styleId="53">
    <w:name w:val="Table Heading Style"/>
    <w:basedOn w:val="1"/>
    <w:qFormat/>
    <w:uiPriority w:val="0"/>
    <w:pPr>
      <w:spacing w:before="0" w:after="0" w:line="216" w:lineRule="auto"/>
      <w:ind w:left="85"/>
    </w:pPr>
    <w:rPr>
      <w:b/>
      <w:caps/>
      <w:color w:val="FFFFFF" w:themeColor="background1"/>
      <w:sz w:val="18"/>
      <w:szCs w:val="18"/>
      <w14:textFill>
        <w14:solidFill>
          <w14:schemeClr w14:val="bg1"/>
        </w14:solidFill>
      </w14:textFill>
    </w:rPr>
  </w:style>
  <w:style w:type="paragraph" w:customStyle="1" w:styleId="54">
    <w:name w:val="Header2"/>
    <w:basedOn w:val="1"/>
    <w:link w:val="55"/>
    <w:qFormat/>
    <w:uiPriority w:val="99"/>
    <w:pPr>
      <w:spacing w:before="0"/>
    </w:pPr>
    <w:rPr>
      <w:i/>
    </w:rPr>
  </w:style>
  <w:style w:type="character" w:customStyle="1" w:styleId="55">
    <w:name w:val="Header2 Char"/>
    <w:basedOn w:val="6"/>
    <w:link w:val="54"/>
    <w:qFormat/>
    <w:uiPriority w:val="99"/>
    <w:rPr>
      <w:i/>
      <w:color w:val="595959" w:themeColor="text1" w:themeTint="A6"/>
      <w:sz w:val="24"/>
      <w14:textFill>
        <w14:solidFill>
          <w14:schemeClr w14:val="tx1">
            <w14:lumMod w14:val="65000"/>
            <w14:lumOff w14:val="35000"/>
          </w14:schemeClr>
        </w14:solidFill>
      </w14:textFill>
    </w:rPr>
  </w:style>
  <w:style w:type="paragraph" w:customStyle="1" w:styleId="56">
    <w:name w:val="Table total"/>
    <w:basedOn w:val="1"/>
    <w:next w:val="1"/>
    <w:link w:val="57"/>
    <w:qFormat/>
    <w:uiPriority w:val="0"/>
    <w:pPr>
      <w:spacing w:before="0" w:after="0" w:line="256" w:lineRule="auto"/>
    </w:pPr>
    <w:rPr>
      <w:rFonts w:ascii="Arial" w:hAnsi="Arial" w:eastAsia="Arial" w:cs="Times New Roman"/>
      <w:b/>
      <w:bCs/>
      <w:caps/>
      <w:color w:val="404040" w:themeColor="text1" w:themeTint="BF"/>
      <w:sz w:val="18"/>
      <w14:textFill>
        <w14:solidFill>
          <w14:schemeClr w14:val="tx1">
            <w14:lumMod w14:val="75000"/>
            <w14:lumOff w14:val="25000"/>
          </w14:schemeClr>
        </w14:solidFill>
      </w14:textFill>
    </w:rPr>
  </w:style>
  <w:style w:type="character" w:customStyle="1" w:styleId="57">
    <w:name w:val="Table total Char"/>
    <w:basedOn w:val="6"/>
    <w:link w:val="56"/>
    <w:qFormat/>
    <w:uiPriority w:val="0"/>
    <w:rPr>
      <w:rFonts w:ascii="Arial" w:hAnsi="Arial" w:eastAsia="Arial" w:cs="Times New Roman"/>
      <w:b/>
      <w:bCs/>
      <w:caps/>
      <w:color w:val="404040" w:themeColor="text1" w:themeTint="BF"/>
      <w:sz w:val="18"/>
      <w14:textFill>
        <w14:solidFill>
          <w14:schemeClr w14:val="tx1">
            <w14:lumMod w14:val="75000"/>
            <w14:lumOff w14:val="25000"/>
          </w14:schemeClr>
        </w14:solidFill>
      </w14:textFill>
    </w:rPr>
  </w:style>
  <w:style w:type="character" w:customStyle="1" w:styleId="58">
    <w:name w:val="Unresolved Mention"/>
    <w:basedOn w:val="6"/>
    <w:semiHidden/>
    <w:unhideWhenUsed/>
    <w:qFormat/>
    <w:uiPriority w:val="99"/>
    <w:rPr>
      <w:color w:val="605E5C"/>
      <w:shd w:val="clear" w:color="auto" w:fill="E1DFDD"/>
    </w:rPr>
  </w:style>
  <w:style w:type="character" w:customStyle="1" w:styleId="59">
    <w:name w:val="No Spacing Char"/>
    <w:basedOn w:val="6"/>
    <w:link w:val="42"/>
    <w:qFormat/>
    <w:uiPriority w:val="1"/>
    <w:rPr>
      <w:i/>
      <w:color w:val="595959" w:themeColor="text1" w:themeTint="A6"/>
      <w:sz w:val="24"/>
      <w14:textFill>
        <w14:solidFill>
          <w14:schemeClr w14:val="tx1">
            <w14:lumMod w14:val="65000"/>
            <w14:lumOff w14:val="35000"/>
          </w14:schemeClr>
        </w14:solidFill>
      </w14:textFill>
    </w:rPr>
  </w:style>
  <w:style w:type="table" w:customStyle="1" w:styleId="60">
    <w:name w:val="Grid Table 4 Accent 3"/>
    <w:basedOn w:val="7"/>
    <w:qFormat/>
    <w:uiPriority w:val="49"/>
    <w:pPr>
      <w:spacing w:after="0" w:line="240" w:lineRule="auto"/>
    </w:pPr>
    <w:tblPr>
      <w:tblBorders>
        <w:top w:val="single" w:color="10CEF0" w:themeColor="accent3" w:themeTint="99" w:sz="4" w:space="0"/>
        <w:left w:val="single" w:color="10CEF0" w:themeColor="accent3" w:themeTint="99" w:sz="4" w:space="0"/>
        <w:bottom w:val="single" w:color="10CEF0" w:themeColor="accent3" w:themeTint="99" w:sz="4" w:space="0"/>
        <w:right w:val="single" w:color="10CEF0" w:themeColor="accent3" w:themeTint="99" w:sz="4" w:space="0"/>
        <w:insideH w:val="single" w:color="10CEF0" w:themeColor="accent3" w:themeTint="99" w:sz="4" w:space="0"/>
        <w:insideV w:val="single" w:color="10CEF0" w:themeColor="accent3" w:themeTint="99" w:sz="4" w:space="0"/>
      </w:tblBorders>
    </w:tblPr>
    <w:tblStylePr w:type="firstRow">
      <w:rPr>
        <w:b/>
        <w:bCs/>
        <w:color w:val="FFFFFF" w:themeColor="background1"/>
        <w14:textFill>
          <w14:solidFill>
            <w14:schemeClr w14:val="bg1"/>
          </w14:solidFill>
        </w14:textFill>
      </w:rPr>
      <w:tcPr>
        <w:tcBorders>
          <w:top w:val="single" w:color="054854" w:themeColor="accent3" w:sz="4" w:space="0"/>
          <w:left w:val="single" w:color="054854" w:themeColor="accent3" w:sz="4" w:space="0"/>
          <w:bottom w:val="single" w:color="054854" w:themeColor="accent3" w:sz="4" w:space="0"/>
          <w:right w:val="single" w:color="054854" w:themeColor="accent3" w:sz="4" w:space="0"/>
          <w:insideH w:val="nil"/>
          <w:insideV w:val="nil"/>
        </w:tcBorders>
        <w:shd w:val="clear" w:color="auto" w:fill="054854" w:themeFill="accent3"/>
      </w:tcPr>
    </w:tblStylePr>
    <w:tblStylePr w:type="lastRow">
      <w:rPr>
        <w:b/>
        <w:bCs/>
      </w:rPr>
      <w:tcPr>
        <w:tcBorders>
          <w:top w:val="double" w:color="054854" w:themeColor="accent3" w:sz="4" w:space="0"/>
        </w:tcBorders>
      </w:tcPr>
    </w:tblStylePr>
    <w:tblStylePr w:type="firstCol">
      <w:rPr>
        <w:b/>
        <w:bCs/>
      </w:rPr>
    </w:tblStylePr>
    <w:tblStylePr w:type="lastCol">
      <w:rPr>
        <w:b/>
        <w:bCs/>
      </w:rPr>
    </w:tblStylePr>
    <w:tblStylePr w:type="band1Vert">
      <w:tcPr>
        <w:shd w:val="clear" w:color="auto" w:fill="AFEEFA" w:themeFill="accent3" w:themeFillTint="33"/>
      </w:tcPr>
    </w:tblStylePr>
    <w:tblStylePr w:type="band1Horz">
      <w:tcPr>
        <w:shd w:val="clear" w:color="auto" w:fill="AFEEFA" w:themeFill="accent3" w:themeFillTint="33"/>
      </w:tcPr>
    </w:tblStylePr>
  </w:style>
  <w:style w:type="table" w:customStyle="1" w:styleId="61">
    <w:name w:val="Grid Table 4 Accent 5"/>
    <w:basedOn w:val="7"/>
    <w:qFormat/>
    <w:uiPriority w:val="49"/>
    <w:pPr>
      <w:spacing w:after="0" w:line="240" w:lineRule="auto"/>
    </w:pPr>
    <w:tblPr>
      <w:tblBorders>
        <w:top w:val="single" w:color="FBC17D" w:themeColor="accent5" w:themeTint="99" w:sz="4" w:space="0"/>
        <w:left w:val="single" w:color="FBC17D" w:themeColor="accent5" w:themeTint="99" w:sz="4" w:space="0"/>
        <w:bottom w:val="single" w:color="FBC17D" w:themeColor="accent5" w:themeTint="99" w:sz="4" w:space="0"/>
        <w:right w:val="single" w:color="FBC17D" w:themeColor="accent5" w:themeTint="99" w:sz="4" w:space="0"/>
        <w:insideH w:val="single" w:color="FBC17D" w:themeColor="accent5" w:themeTint="99" w:sz="4" w:space="0"/>
        <w:insideV w:val="single" w:color="FBC17D" w:themeColor="accent5" w:themeTint="99" w:sz="4" w:space="0"/>
      </w:tblBorders>
    </w:tblPr>
    <w:tblStylePr w:type="firstRow">
      <w:rPr>
        <w:b/>
        <w:bCs/>
        <w:color w:val="FFFFFF" w:themeColor="background1"/>
        <w14:textFill>
          <w14:solidFill>
            <w14:schemeClr w14:val="bg1"/>
          </w14:solidFill>
        </w14:textFill>
      </w:rPr>
      <w:tcPr>
        <w:tcBorders>
          <w:top w:val="single" w:color="F99927" w:themeColor="accent5" w:sz="4" w:space="0"/>
          <w:left w:val="single" w:color="F99927" w:themeColor="accent5" w:sz="4" w:space="0"/>
          <w:bottom w:val="single" w:color="F99927" w:themeColor="accent5" w:sz="4" w:space="0"/>
          <w:right w:val="single" w:color="F99927" w:themeColor="accent5" w:sz="4" w:space="0"/>
          <w:insideH w:val="nil"/>
          <w:insideV w:val="nil"/>
        </w:tcBorders>
        <w:shd w:val="clear" w:color="auto" w:fill="F99927" w:themeFill="accent5"/>
      </w:tcPr>
    </w:tblStylePr>
    <w:tblStylePr w:type="lastRow">
      <w:rPr>
        <w:b/>
        <w:bCs/>
      </w:rPr>
      <w:tcPr>
        <w:tcBorders>
          <w:top w:val="double" w:color="F99927" w:themeColor="accent5" w:sz="4" w:space="0"/>
        </w:tcBorders>
      </w:tcPr>
    </w:tblStylePr>
    <w:tblStylePr w:type="firstCol">
      <w:rPr>
        <w:b/>
        <w:bCs/>
      </w:rPr>
    </w:tblStylePr>
    <w:tblStylePr w:type="lastCol">
      <w:rPr>
        <w:b/>
        <w:bCs/>
      </w:rPr>
    </w:tblStylePr>
    <w:tblStylePr w:type="band1Vert">
      <w:tcPr>
        <w:shd w:val="clear" w:color="auto" w:fill="FDEAD3" w:themeFill="accent5" w:themeFillTint="33"/>
      </w:tcPr>
    </w:tblStylePr>
    <w:tblStylePr w:type="band1Horz">
      <w:tcPr>
        <w:shd w:val="clear" w:color="auto" w:fill="FDEAD3" w:themeFill="accent5" w:themeFillTint="33"/>
      </w:tcPr>
    </w:tblStylePr>
  </w:style>
  <w:style w:type="table" w:customStyle="1" w:styleId="62">
    <w:name w:val="Grid Table 4 Accent 1"/>
    <w:basedOn w:val="7"/>
    <w:qFormat/>
    <w:uiPriority w:val="49"/>
    <w:pPr>
      <w:spacing w:after="0" w:line="240" w:lineRule="auto"/>
    </w:pPr>
    <w:tblPr>
      <w:tblBorders>
        <w:top w:val="single" w:color="F5E0C6" w:themeColor="accent1" w:themeTint="99" w:sz="4" w:space="0"/>
        <w:left w:val="single" w:color="F5E0C6" w:themeColor="accent1" w:themeTint="99" w:sz="4" w:space="0"/>
        <w:bottom w:val="single" w:color="F5E0C6" w:themeColor="accent1" w:themeTint="99" w:sz="4" w:space="0"/>
        <w:right w:val="single" w:color="F5E0C6" w:themeColor="accent1" w:themeTint="99" w:sz="4" w:space="0"/>
        <w:insideH w:val="single" w:color="F5E0C6" w:themeColor="accent1" w:themeTint="99" w:sz="4" w:space="0"/>
        <w:insideV w:val="single" w:color="F5E0C6" w:themeColor="accent1" w:themeTint="99" w:sz="4" w:space="0"/>
      </w:tblBorders>
    </w:tblPr>
    <w:tblStylePr w:type="firstRow">
      <w:rPr>
        <w:b/>
        <w:bCs/>
        <w:color w:val="FFFFFF" w:themeColor="background1"/>
        <w14:textFill>
          <w14:solidFill>
            <w14:schemeClr w14:val="bg1"/>
          </w14:solidFill>
        </w14:textFill>
      </w:rPr>
      <w:tcPr>
        <w:tcBorders>
          <w:top w:val="single" w:color="F0CDA1" w:themeColor="accent1" w:sz="4" w:space="0"/>
          <w:left w:val="single" w:color="F0CDA1" w:themeColor="accent1" w:sz="4" w:space="0"/>
          <w:bottom w:val="single" w:color="F0CDA1" w:themeColor="accent1" w:sz="4" w:space="0"/>
          <w:right w:val="single" w:color="F0CDA1" w:themeColor="accent1" w:sz="4" w:space="0"/>
          <w:insideH w:val="nil"/>
          <w:insideV w:val="nil"/>
        </w:tcBorders>
        <w:shd w:val="clear" w:color="auto" w:fill="F0CDA1" w:themeFill="accent1"/>
      </w:tcPr>
    </w:tblStylePr>
    <w:tblStylePr w:type="lastRow">
      <w:rPr>
        <w:b/>
        <w:bCs/>
      </w:rPr>
      <w:tcPr>
        <w:tcBorders>
          <w:top w:val="double" w:color="F0CDA1" w:themeColor="accent1" w:sz="4" w:space="0"/>
        </w:tcBorders>
      </w:tcPr>
    </w:tblStylePr>
    <w:tblStylePr w:type="firstCol">
      <w:rPr>
        <w:b/>
        <w:bCs/>
      </w:rPr>
    </w:tblStylePr>
    <w:tblStylePr w:type="lastCol">
      <w:rPr>
        <w:b/>
        <w:bCs/>
      </w:rPr>
    </w:tblStylePr>
    <w:tblStylePr w:type="band1Vert">
      <w:tcPr>
        <w:shd w:val="clear" w:color="auto" w:fill="FBF4EC" w:themeFill="accent1" w:themeFillTint="33"/>
      </w:tcPr>
    </w:tblStylePr>
    <w:tblStylePr w:type="band1Horz">
      <w:tcPr>
        <w:shd w:val="clear" w:color="auto" w:fill="FBF4EC"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5.xml"/><Relationship Id="rId16" Type="http://schemas.openxmlformats.org/officeDocument/2006/relationships/customXml" Target="../customXml/item4.xml"/><Relationship Id="rId15" Type="http://schemas.openxmlformats.org/officeDocument/2006/relationships/customXml" Target="../customXml/item3.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20Begam\AppData\Roaming\Microsoft\Templates\Home%20business%20plan.dotx" TargetMode="External"/></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766919-75C2-4086-A4BF-3DAB32BE342D}">
  <ds:schemaRefs/>
</ds:datastoreItem>
</file>

<file path=customXml/itemProps3.xml><?xml version="1.0" encoding="utf-8"?>
<ds:datastoreItem xmlns:ds="http://schemas.openxmlformats.org/officeDocument/2006/customXml" ds:itemID="{6235257B-BF5C-4D7C-8846-B75BB06AD2CF}">
  <ds:schemaRefs/>
</ds:datastoreItem>
</file>

<file path=customXml/itemProps4.xml><?xml version="1.0" encoding="utf-8"?>
<ds:datastoreItem xmlns:ds="http://schemas.openxmlformats.org/officeDocument/2006/customXml" ds:itemID="{EC462E75-6462-4BEA-A6E7-175263294B07}">
  <ds:schemaRefs/>
</ds:datastoreItem>
</file>

<file path=customXml/itemProps5.xml><?xml version="1.0" encoding="utf-8"?>
<ds:datastoreItem xmlns:ds="http://schemas.openxmlformats.org/officeDocument/2006/customXml" ds:itemID="{0E95A1BB-E2E3-427A-BEAF-91ACD14039BA}">
  <ds:schemaRefs/>
</ds:datastoreItem>
</file>

<file path=docProps/app.xml><?xml version="1.0" encoding="utf-8"?>
<Properties xmlns="http://schemas.openxmlformats.org/officeDocument/2006/extended-properties" xmlns:vt="http://schemas.openxmlformats.org/officeDocument/2006/docPropsVTypes">
  <Template>Home business plan</Template>
  <Pages>8</Pages>
  <TotalTime>15</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2025-01-29T00:03:00Z</dcterms:created>
  <dc:creator>Jani Begam</dc:creator>
  <cp:lastModifiedBy>Keerthana Rajagopal</cp:lastModifiedBy>
  <dcterms:modified xsi:type="dcterms:W3CDTF">2025-02-07T23:22:13Z</dcterms:modified>
  <cp:revision>356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1033-12.2.0.19805</vt:lpwstr>
  </property>
  <property fmtid="{D5CDD505-2E9C-101B-9397-08002B2CF9AE}" pid="4" name="ICV">
    <vt:lpwstr>6DF94A1055A7410282FF1DE18FC8F106_12</vt:lpwstr>
  </property>
</Properties>
</file>