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7"/>
    <w:bookmarkEnd w:id="78"/>
    <w:bookmarkStart w:id="83" w:name="文獻整理與研究缺口分析"/>
    <w:p>
      <w:pPr>
        <w:pStyle w:val="Heading2"/>
      </w:pPr>
      <w:r>
        <w:t xml:space="preserve">2.5 </w:t>
      </w:r>
      <w:r>
        <w:rPr>
          <w:rFonts w:hint="eastAsia"/>
        </w:rPr>
        <w:t xml:space="preserve">文獻整理與研究缺口分析</w: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bookmarkStart w:id="138" w:name="參考文獻"/>
    <w:p>
      <w:r>
        <w:br w:type="page"/>
      </w:r>
    </w:p>
    <w:p>
      <w:pPr>
        <w:pStyle w:val="Heading1"/>
      </w:pPr>
      <w:r>
        <w:rPr>
          <w:rFonts w:hint="eastAsia"/>
        </w:rPr>
        <w:t xml:space="preserve">參考文獻</w:t>
      </w:r>
    </w:p>
    <w:bookmarkStart w:id="136"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36"/>
    <w:bookmarkStart w:id="137"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37"/>
    <w:bookmarkEnd w:id="138"/>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2026-09-28T07:55:07Z</dcterms:created>
  <dcterms:modified xsi:type="dcterms:W3CDTF">2026-09-28T07:55:07Z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