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single" w:color="C0392B" w:sz="4"/>
              <w:bottom w:val="single" w:color="C0392B" w:sz="4"/>
              <w:right w:val="single" w:color="C0392B" w:sz="4"/>
            </w:tcBorders>
            <w:shd w:fill="FDECEA" w:val="clear"/>
            <w:tcMar>
              <w:top w:type="dxa" w:w="160"/>
              <w:left w:type="dxa" w:w="240"/>
              <w:bottom w:type="dxa" w:w="160"/>
              <w:right w:type="dxa" w:w="240"/>
            </w:tcMar>
          </w:tcPr>
          <w:p>
            <w:pPr>
              <w:spacing w:after="80" w:before="0"/>
            </w:pPr>
            <w:r>
              <w:rPr>
                <w:rFonts w:ascii="Arial" w:cs="Arial" w:eastAsia="Arial" w:hAnsi="Arial"/>
                <w:b/>
                <w:bCs/>
                <w:color w:val="C0392B"/>
                <w:sz w:val="26"/>
                <w:szCs w:val="26"/>
              </w:rPr>
              <w:t xml:space="preserve">iteration_admin — CEC Platform</w:t>
            </w:r>
          </w:p>
          <w:p>
            <w:pPr>
              <w:spacing w:after="0" w:before="0"/>
            </w:pPr>
            <w:r>
              <w:rPr>
                <w:rFonts w:ascii="Arial" w:cs="Arial" w:eastAsia="Arial" w:hAnsi="Arial"/>
                <w:color w:val="333333"/>
                <w:sz w:val="22"/>
                <w:szCs w:val="22"/>
              </w:rPr>
              <w:t xml:space="preserve">Role Scope &amp; Permission Reference  |  City Engineering College Digital Platform</w:t>
            </w:r>
          </w:p>
        </w:tc>
      </w:tr>
    </w:tbl>
    <w:p>
      <w:pPr>
        <w:spacing w:after="0" w:before="280"/>
      </w:pPr>
    </w:p>
    <w:p>
      <w:pPr>
        <w:pStyle w:val="Heading1"/>
      </w:pPr>
      <w:r>
        <w:rPr>
          <w:rFonts w:ascii="Arial" w:cs="Arial" w:eastAsia="Arial" w:hAnsi="Arial"/>
        </w:rPr>
        <w:t xml:space="preserve">Admin Role</w:t>
      </w:r>
    </w:p>
    <w:p>
      <w:pPr>
        <w:spacing w:after="80" w:before="40"/>
      </w:pPr>
      <w:r>
        <w:rPr>
          <w:rFonts w:ascii="Arial" w:cs="Arial" w:eastAsia="Arial" w:hAnsi="Arial"/>
          <w:sz w:val="22"/>
          <w:szCs w:val="22"/>
        </w:rPr>
        <w:t xml:space="preserve">The Admin is the platform owner and system operator. This role holds the highest level of access and is responsible for maintaining the institutional integrity of the platform — managing users, enforcing policy, and providing the configuration scaffolding that Faculty and Students operate within.</w:t>
      </w:r>
    </w:p>
    <w:p>
      <w:pPr>
        <w:pBdr>
          <w:bottom w:val="single" w:color="C0392B" w:sz="6" w:space="1"/>
        </w:pBdr>
        <w:spacing w:after="1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C0392B" w:val="clear"/>
            <w:tcMar>
              <w:top w:type="dxa" w:w="120"/>
              <w:left w:type="dxa" w:w="240"/>
              <w:bottom w:type="dxa" w:w="120"/>
              <w:right w:type="dxa" w:w="240"/>
            </w:tcMar>
          </w:tcPr>
          <w:p>
            <w:r>
              <w:rPr>
                <w:rFonts w:ascii="Arial" w:cs="Arial" w:eastAsia="Arial" w:hAnsi="Arial"/>
                <w:b/>
                <w:bCs/>
                <w:color w:val="FFFFFF"/>
                <w:sz w:val="20"/>
                <w:szCs w:val="20"/>
              </w:rPr>
              <w:t xml:space="preserve">1  ACCESS &amp; PERMISSIONS</w:t>
            </w:r>
          </w:p>
        </w:tc>
      </w:tr>
    </w:tbl>
    <w:p>
      <w:pPr>
        <w:spacing w:after="0" w:before="120"/>
      </w:pPr>
    </w:p>
    <w:p>
      <w:pPr>
        <w:spacing w:after="80" w:before="40"/>
      </w:pPr>
      <w:r>
        <w:rPr>
          <w:rFonts w:ascii="Arial" w:cs="Arial" w:eastAsia="Arial" w:hAnsi="Arial"/>
          <w:sz w:val="22"/>
          <w:szCs w:val="22"/>
        </w:rPr>
        <w:t xml:space="preserve">The table below defines the Admin's CRUD access across all major platform modules. Cells marked Own only indicate the Admin can only act on records they personally created (e.g., their own profile).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240"/>
        <w:gridCol w:w="1240"/>
        <w:gridCol w:w="1240"/>
        <w:gridCol w:w="1240"/>
      </w:tblGrid>
      <w:tr>
        <w:trPr>
          <w:tblHeader/>
        </w:trPr>
        <w:tc>
          <w:tcPr>
            <w:tcW w:type="dxa" w:w="44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 / Data</w:t>
            </w:r>
          </w:p>
        </w:tc>
        <w:tc>
          <w:tcPr>
            <w:tcW w:type="dxa" w:w="124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View</w:t>
            </w:r>
          </w:p>
        </w:tc>
        <w:tc>
          <w:tcPr>
            <w:tcW w:type="dxa" w:w="124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Create</w:t>
            </w:r>
          </w:p>
        </w:tc>
        <w:tc>
          <w:tcPr>
            <w:tcW w:type="dxa" w:w="124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Edit</w:t>
            </w:r>
          </w:p>
        </w:tc>
        <w:tc>
          <w:tcPr>
            <w:tcW w:type="dxa" w:w="124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Delete</w:t>
            </w:r>
          </w:p>
        </w:tc>
      </w:tr>
      <w:tr>
        <w:tc>
          <w:tcPr>
            <w:tcW w:type="dxa" w:w="4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User accounts (all roles)</w:t>
            </w:r>
          </w:p>
        </w:tc>
        <w:tc>
          <w:tcPr>
            <w:tcW w:type="dxa" w:w="1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1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1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1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r>
      <w:tr>
        <w:tc>
          <w:tcPr>
            <w:tcW w:type="dxa" w:w="44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Department &amp; section config</w:t>
            </w:r>
          </w:p>
        </w:tc>
        <w:tc>
          <w:tcPr>
            <w:tcW w:type="dxa" w:w="124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124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124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124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r>
      <w:tr>
        <w:tc>
          <w:tcPr>
            <w:tcW w:type="dxa" w:w="4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Academic calendar</w:t>
            </w:r>
          </w:p>
        </w:tc>
        <w:tc>
          <w:tcPr>
            <w:tcW w:type="dxa" w:w="1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1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1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1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r>
      <w:tr>
        <w:tc>
          <w:tcPr>
            <w:tcW w:type="dxa" w:w="44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System settings &amp; feature flags</w:t>
            </w:r>
          </w:p>
        </w:tc>
        <w:tc>
          <w:tcPr>
            <w:tcW w:type="dxa" w:w="124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124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124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124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center"/>
            </w:pPr>
            <w:r>
              <w:rPr>
                <w:rFonts w:ascii="Arial" w:cs="Arial" w:eastAsia="Arial" w:hAnsi="Arial"/>
                <w:color w:val="B03A2E"/>
                <w:sz w:val="20"/>
                <w:szCs w:val="20"/>
              </w:rPr>
              <w:t xml:space="preserve">✗</w:t>
            </w:r>
          </w:p>
        </w:tc>
      </w:tr>
      <w:tr>
        <w:tc>
          <w:tcPr>
            <w:tcW w:type="dxa" w:w="4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All student records (cross-dept)</w:t>
            </w:r>
          </w:p>
        </w:tc>
        <w:tc>
          <w:tcPr>
            <w:tcW w:type="dxa" w:w="1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1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color w:val="B03A2E"/>
                <w:sz w:val="20"/>
                <w:szCs w:val="20"/>
              </w:rPr>
              <w:t xml:space="preserve">✗</w:t>
            </w:r>
          </w:p>
        </w:tc>
        <w:tc>
          <w:tcPr>
            <w:tcW w:type="dxa" w:w="1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1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color w:val="B03A2E"/>
                <w:sz w:val="20"/>
                <w:szCs w:val="20"/>
              </w:rPr>
              <w:t xml:space="preserve">✗</w:t>
            </w:r>
          </w:p>
        </w:tc>
      </w:tr>
      <w:tr>
        <w:tc>
          <w:tcPr>
            <w:tcW w:type="dxa" w:w="44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Fee records &amp; payment logs</w:t>
            </w:r>
          </w:p>
        </w:tc>
        <w:tc>
          <w:tcPr>
            <w:tcW w:type="dxa" w:w="124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124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124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124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center"/>
            </w:pPr>
            <w:r>
              <w:rPr>
                <w:rFonts w:ascii="Arial" w:cs="Arial" w:eastAsia="Arial" w:hAnsi="Arial"/>
                <w:color w:val="B03A2E"/>
                <w:sz w:val="20"/>
                <w:szCs w:val="20"/>
              </w:rPr>
              <w:t xml:space="preserve">✗</w:t>
            </w:r>
          </w:p>
        </w:tc>
      </w:tr>
      <w:tr>
        <w:tc>
          <w:tcPr>
            <w:tcW w:type="dxa" w:w="4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Global announcements</w:t>
            </w:r>
          </w:p>
        </w:tc>
        <w:tc>
          <w:tcPr>
            <w:tcW w:type="dxa" w:w="1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1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1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1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r>
      <w:tr>
        <w:tc>
          <w:tcPr>
            <w:tcW w:type="dxa" w:w="44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Course catalog</w:t>
            </w:r>
          </w:p>
        </w:tc>
        <w:tc>
          <w:tcPr>
            <w:tcW w:type="dxa" w:w="124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124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124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124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r>
      <w:tr>
        <w:tc>
          <w:tcPr>
            <w:tcW w:type="dxa" w:w="4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Faculty–course assignments</w:t>
            </w:r>
          </w:p>
        </w:tc>
        <w:tc>
          <w:tcPr>
            <w:tcW w:type="dxa" w:w="1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1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1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1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r>
      <w:tr>
        <w:tc>
          <w:tcPr>
            <w:tcW w:type="dxa" w:w="44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Audit logs</w:t>
            </w:r>
          </w:p>
        </w:tc>
        <w:tc>
          <w:tcPr>
            <w:tcW w:type="dxa" w:w="124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124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center"/>
            </w:pPr>
            <w:r>
              <w:rPr>
                <w:rFonts w:ascii="Arial" w:cs="Arial" w:eastAsia="Arial" w:hAnsi="Arial"/>
                <w:color w:val="B03A2E"/>
                <w:sz w:val="20"/>
                <w:szCs w:val="20"/>
              </w:rPr>
              <w:t xml:space="preserve">✗</w:t>
            </w:r>
          </w:p>
        </w:tc>
        <w:tc>
          <w:tcPr>
            <w:tcW w:type="dxa" w:w="124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center"/>
            </w:pPr>
            <w:r>
              <w:rPr>
                <w:rFonts w:ascii="Arial" w:cs="Arial" w:eastAsia="Arial" w:hAnsi="Arial"/>
                <w:color w:val="B03A2E"/>
                <w:sz w:val="20"/>
                <w:szCs w:val="20"/>
              </w:rPr>
              <w:t xml:space="preserve">✗</w:t>
            </w:r>
          </w:p>
        </w:tc>
        <w:tc>
          <w:tcPr>
            <w:tcW w:type="dxa" w:w="124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center"/>
            </w:pPr>
            <w:r>
              <w:rPr>
                <w:rFonts w:ascii="Arial" w:cs="Arial" w:eastAsia="Arial" w:hAnsi="Arial"/>
                <w:color w:val="B03A2E"/>
                <w:sz w:val="20"/>
                <w:szCs w:val="20"/>
              </w:rPr>
              <w:t xml:space="preserve">✗</w:t>
            </w:r>
          </w:p>
        </w:tc>
      </w:tr>
      <w:tr>
        <w:tc>
          <w:tcPr>
            <w:tcW w:type="dxa" w:w="4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Platform analytics dashboard</w:t>
            </w:r>
          </w:p>
        </w:tc>
        <w:tc>
          <w:tcPr>
            <w:tcW w:type="dxa" w:w="1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1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color w:val="B03A2E"/>
                <w:sz w:val="20"/>
                <w:szCs w:val="20"/>
              </w:rPr>
              <w:t xml:space="preserve">✗</w:t>
            </w:r>
          </w:p>
        </w:tc>
        <w:tc>
          <w:tcPr>
            <w:tcW w:type="dxa" w:w="1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color w:val="B03A2E"/>
                <w:sz w:val="20"/>
                <w:szCs w:val="20"/>
              </w:rPr>
              <w:t xml:space="preserve">✗</w:t>
            </w:r>
          </w:p>
        </w:tc>
        <w:tc>
          <w:tcPr>
            <w:tcW w:type="dxa" w:w="1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color w:val="B03A2E"/>
                <w:sz w:val="20"/>
                <w:szCs w:val="20"/>
              </w:rPr>
              <w:t xml:space="preserve">✗</w:t>
            </w:r>
          </w:p>
        </w:tc>
      </w:tr>
      <w:tr>
        <w:tc>
          <w:tcPr>
            <w:tcW w:type="dxa" w:w="44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Resource library (global)</w:t>
            </w:r>
          </w:p>
        </w:tc>
        <w:tc>
          <w:tcPr>
            <w:tcW w:type="dxa" w:w="124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124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124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124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r>
      <w:tr>
        <w:tc>
          <w:tcPr>
            <w:tcW w:type="dxa" w:w="4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Certificate &amp; document requests</w:t>
            </w:r>
          </w:p>
        </w:tc>
        <w:tc>
          <w:tcPr>
            <w:tcW w:type="dxa" w:w="1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1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color w:val="B03A2E"/>
                <w:sz w:val="20"/>
                <w:szCs w:val="20"/>
              </w:rPr>
              <w:t xml:space="preserve">✗</w:t>
            </w:r>
          </w:p>
        </w:tc>
        <w:tc>
          <w:tcPr>
            <w:tcW w:type="dxa" w:w="1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1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r>
      <w:tr>
        <w:tc>
          <w:tcPr>
            <w:tcW w:type="dxa" w:w="44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Grievance records</w:t>
            </w:r>
          </w:p>
        </w:tc>
        <w:tc>
          <w:tcPr>
            <w:tcW w:type="dxa" w:w="124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124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center"/>
            </w:pPr>
            <w:r>
              <w:rPr>
                <w:rFonts w:ascii="Arial" w:cs="Arial" w:eastAsia="Arial" w:hAnsi="Arial"/>
                <w:color w:val="B03A2E"/>
                <w:sz w:val="20"/>
                <w:szCs w:val="20"/>
              </w:rPr>
              <w:t xml:space="preserve">✗</w:t>
            </w:r>
          </w:p>
        </w:tc>
        <w:tc>
          <w:tcPr>
            <w:tcW w:type="dxa" w:w="124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124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r>
      <w:tr>
        <w:tc>
          <w:tcPr>
            <w:tcW w:type="dxa" w:w="4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Own profile</w:t>
            </w:r>
          </w:p>
        </w:tc>
        <w:tc>
          <w:tcPr>
            <w:tcW w:type="dxa" w:w="1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1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color w:val="B03A2E"/>
                <w:sz w:val="20"/>
                <w:szCs w:val="20"/>
              </w:rPr>
              <w:t xml:space="preserve">✗</w:t>
            </w:r>
          </w:p>
        </w:tc>
        <w:tc>
          <w:tcPr>
            <w:tcW w:type="dxa" w:w="1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color w:val="1A5276"/>
                <w:sz w:val="20"/>
                <w:szCs w:val="20"/>
              </w:rPr>
              <w:t xml:space="preserve">Own only</w:t>
            </w:r>
          </w:p>
        </w:tc>
        <w:tc>
          <w:tcPr>
            <w:tcW w:type="dxa" w:w="1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color w:val="B03A2E"/>
                <w:sz w:val="20"/>
                <w:szCs w:val="20"/>
              </w:rPr>
              <w:t xml:space="preserv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C0392B" w:val="clear"/>
            <w:tcMar>
              <w:top w:type="dxa" w:w="120"/>
              <w:left w:type="dxa" w:w="240"/>
              <w:bottom w:type="dxa" w:w="120"/>
              <w:right w:type="dxa" w:w="240"/>
            </w:tcMar>
          </w:tcPr>
          <w:p>
            <w:r>
              <w:rPr>
                <w:rFonts w:ascii="Arial" w:cs="Arial" w:eastAsia="Arial" w:hAnsi="Arial"/>
                <w:b/>
                <w:bCs/>
                <w:color w:val="FFFFFF"/>
                <w:sz w:val="20"/>
                <w:szCs w:val="20"/>
              </w:rPr>
              <w:t xml:space="preserve">2  KEY RESPONSIBILITIES</w:t>
            </w:r>
          </w:p>
        </w:tc>
      </w:tr>
    </w:tbl>
    <w:p>
      <w:pPr>
        <w:spacing w:after="0" w:before="120"/>
      </w:pPr>
    </w:p>
    <w:p>
      <w:pPr>
        <w:pStyle w:val="Heading3"/>
      </w:pPr>
      <w:r>
        <w:rPr>
          <w:rFonts w:ascii="Arial" w:cs="Arial" w:eastAsia="Arial" w:hAnsi="Arial"/>
        </w:rPr>
        <w:t xml:space="preserve">User &amp; Role Management</w:t>
      </w:r>
    </w:p>
    <w:p>
      <w:pPr>
        <w:pStyle w:val="ListParagraph"/>
        <w:numPr>
          <w:ilvl w:val="0"/>
          <w:numId w:val="2"/>
        </w:numPr>
        <w:spacing w:after="40" w:before="40"/>
      </w:pPr>
      <w:r>
        <w:rPr>
          <w:rFonts w:ascii="Arial" w:cs="Arial" w:eastAsia="Arial" w:hAnsi="Arial"/>
          <w:b w:val="false"/>
          <w:bCs w:val="false"/>
          <w:sz w:val="22"/>
          <w:szCs w:val="22"/>
        </w:rPr>
        <w:t xml:space="preserve">Create, activate, suspend, and delete accounts for Admin, Faculty, and Student roles</w:t>
      </w:r>
    </w:p>
    <w:p>
      <w:pPr>
        <w:pStyle w:val="ListParagraph"/>
        <w:numPr>
          <w:ilvl w:val="0"/>
          <w:numId w:val="2"/>
        </w:numPr>
        <w:spacing w:after="40" w:before="40"/>
      </w:pPr>
      <w:r>
        <w:rPr>
          <w:rFonts w:ascii="Arial" w:cs="Arial" w:eastAsia="Arial" w:hAnsi="Arial"/>
          <w:b w:val="false"/>
          <w:bCs w:val="false"/>
          <w:sz w:val="22"/>
          <w:szCs w:val="22"/>
        </w:rPr>
        <w:t xml:space="preserve">Assign and reassign roles; bulk-import student records at semester start via CSV upload</w:t>
      </w:r>
    </w:p>
    <w:p>
      <w:pPr>
        <w:pStyle w:val="ListParagraph"/>
        <w:numPr>
          <w:ilvl w:val="0"/>
          <w:numId w:val="2"/>
        </w:numPr>
        <w:spacing w:after="40" w:before="40"/>
      </w:pPr>
      <w:r>
        <w:rPr>
          <w:rFonts w:ascii="Arial" w:cs="Arial" w:eastAsia="Arial" w:hAnsi="Arial"/>
          <w:b w:val="false"/>
          <w:bCs w:val="false"/>
          <w:sz w:val="22"/>
          <w:szCs w:val="22"/>
        </w:rPr>
        <w:t xml:space="preserve">Reset credentials and enforce password policies</w:t>
      </w:r>
    </w:p>
    <w:p>
      <w:pPr>
        <w:spacing w:after="0" w:before="80"/>
      </w:pPr>
    </w:p>
    <w:p>
      <w:pPr>
        <w:pStyle w:val="Heading3"/>
      </w:pPr>
      <w:r>
        <w:rPr>
          <w:rFonts w:ascii="Arial" w:cs="Arial" w:eastAsia="Arial" w:hAnsi="Arial"/>
        </w:rPr>
        <w:t xml:space="preserve">Institutional Configuration</w:t>
      </w:r>
    </w:p>
    <w:p>
      <w:pPr>
        <w:pStyle w:val="ListParagraph"/>
        <w:numPr>
          <w:ilvl w:val="0"/>
          <w:numId w:val="2"/>
        </w:numPr>
        <w:spacing w:after="40" w:before="40"/>
      </w:pPr>
      <w:r>
        <w:rPr>
          <w:rFonts w:ascii="Arial" w:cs="Arial" w:eastAsia="Arial" w:hAnsi="Arial"/>
          <w:b w:val="false"/>
          <w:bCs w:val="false"/>
          <w:sz w:val="22"/>
          <w:szCs w:val="22"/>
        </w:rPr>
        <w:t xml:space="preserve">Define and maintain departments, programs, batches, and sections</w:t>
      </w:r>
    </w:p>
    <w:p>
      <w:pPr>
        <w:pStyle w:val="ListParagraph"/>
        <w:numPr>
          <w:ilvl w:val="0"/>
          <w:numId w:val="2"/>
        </w:numPr>
        <w:spacing w:after="40" w:before="40"/>
      </w:pPr>
      <w:r>
        <w:rPr>
          <w:rFonts w:ascii="Arial" w:cs="Arial" w:eastAsia="Arial" w:hAnsi="Arial"/>
          <w:b w:val="false"/>
          <w:bCs w:val="false"/>
          <w:sz w:val="22"/>
          <w:szCs w:val="22"/>
        </w:rPr>
        <w:t xml:space="preserve">Set the academic calendar: semester dates, exam schedules, holidays</w:t>
      </w:r>
    </w:p>
    <w:p>
      <w:pPr>
        <w:pStyle w:val="ListParagraph"/>
        <w:numPr>
          <w:ilvl w:val="0"/>
          <w:numId w:val="2"/>
        </w:numPr>
        <w:spacing w:after="40" w:before="40"/>
      </w:pPr>
      <w:r>
        <w:rPr>
          <w:rFonts w:ascii="Arial" w:cs="Arial" w:eastAsia="Arial" w:hAnsi="Arial"/>
          <w:b w:val="false"/>
          <w:bCs w:val="false"/>
          <w:sz w:val="22"/>
          <w:szCs w:val="22"/>
        </w:rPr>
        <w:t xml:space="preserve">Configure global platform settings: enabled features, file-upload limits, grading scales</w:t>
      </w:r>
    </w:p>
    <w:p>
      <w:pPr>
        <w:spacing w:after="0" w:before="80"/>
      </w:pPr>
    </w:p>
    <w:p>
      <w:pPr>
        <w:pStyle w:val="Heading3"/>
      </w:pPr>
      <w:r>
        <w:rPr>
          <w:rFonts w:ascii="Arial" w:cs="Arial" w:eastAsia="Arial" w:hAnsi="Arial"/>
        </w:rPr>
        <w:t xml:space="preserve">Financial Oversight</w:t>
      </w:r>
    </w:p>
    <w:p>
      <w:pPr>
        <w:pStyle w:val="ListParagraph"/>
        <w:numPr>
          <w:ilvl w:val="0"/>
          <w:numId w:val="2"/>
        </w:numPr>
        <w:spacing w:after="40" w:before="40"/>
      </w:pPr>
      <w:r>
        <w:rPr>
          <w:rFonts w:ascii="Arial" w:cs="Arial" w:eastAsia="Arial" w:hAnsi="Arial"/>
          <w:b w:val="false"/>
          <w:bCs w:val="false"/>
          <w:sz w:val="22"/>
          <w:szCs w:val="22"/>
        </w:rPr>
        <w:t xml:space="preserve">Manage fee structure definitions and payment deadlines</w:t>
      </w:r>
    </w:p>
    <w:p>
      <w:pPr>
        <w:pStyle w:val="ListParagraph"/>
        <w:numPr>
          <w:ilvl w:val="0"/>
          <w:numId w:val="2"/>
        </w:numPr>
        <w:spacing w:after="40" w:before="40"/>
      </w:pPr>
      <w:r>
        <w:rPr>
          <w:rFonts w:ascii="Arial" w:cs="Arial" w:eastAsia="Arial" w:hAnsi="Arial"/>
          <w:b w:val="false"/>
          <w:bCs w:val="false"/>
          <w:sz w:val="22"/>
          <w:szCs w:val="22"/>
        </w:rPr>
        <w:t xml:space="preserve">Reconcile payment gateway records with student fee ledgers</w:t>
      </w:r>
    </w:p>
    <w:p>
      <w:pPr>
        <w:pStyle w:val="ListParagraph"/>
        <w:numPr>
          <w:ilvl w:val="0"/>
          <w:numId w:val="2"/>
        </w:numPr>
        <w:spacing w:after="40" w:before="40"/>
      </w:pPr>
      <w:r>
        <w:rPr>
          <w:rFonts w:ascii="Arial" w:cs="Arial" w:eastAsia="Arial" w:hAnsi="Arial"/>
          <w:b w:val="false"/>
          <w:bCs w:val="false"/>
          <w:sz w:val="22"/>
          <w:szCs w:val="22"/>
        </w:rPr>
        <w:t xml:space="preserve">Generate fee defaulter reports; issue clearance certificates post-payment</w:t>
      </w:r>
    </w:p>
    <w:p>
      <w:pPr>
        <w:spacing w:after="0" w:before="80"/>
      </w:pPr>
    </w:p>
    <w:p>
      <w:pPr>
        <w:pStyle w:val="Heading3"/>
      </w:pPr>
      <w:r>
        <w:rPr>
          <w:rFonts w:ascii="Arial" w:cs="Arial" w:eastAsia="Arial" w:hAnsi="Arial"/>
        </w:rPr>
        <w:t xml:space="preserve">Governance &amp; Compliance</w:t>
      </w:r>
    </w:p>
    <w:p>
      <w:pPr>
        <w:pStyle w:val="ListParagraph"/>
        <w:numPr>
          <w:ilvl w:val="0"/>
          <w:numId w:val="2"/>
        </w:numPr>
        <w:spacing w:after="40" w:before="40"/>
      </w:pPr>
      <w:r>
        <w:rPr>
          <w:rFonts w:ascii="Arial" w:cs="Arial" w:eastAsia="Arial" w:hAnsi="Arial"/>
          <w:b w:val="false"/>
          <w:bCs w:val="false"/>
          <w:sz w:val="22"/>
          <w:szCs w:val="22"/>
        </w:rPr>
        <w:t xml:space="preserve">Monitor system audit logs for suspicious or unauthorized activity</w:t>
      </w:r>
    </w:p>
    <w:p>
      <w:pPr>
        <w:pStyle w:val="ListParagraph"/>
        <w:numPr>
          <w:ilvl w:val="0"/>
          <w:numId w:val="2"/>
        </w:numPr>
        <w:spacing w:after="40" w:before="40"/>
      </w:pPr>
      <w:r>
        <w:rPr>
          <w:rFonts w:ascii="Arial" w:cs="Arial" w:eastAsia="Arial" w:hAnsi="Arial"/>
          <w:b w:val="false"/>
          <w:bCs w:val="false"/>
          <w:sz w:val="22"/>
          <w:szCs w:val="22"/>
        </w:rPr>
        <w:t xml:space="preserve">Generate cross-departmental attendance, performance, and completion reports for NAAC/NBA</w:t>
      </w:r>
    </w:p>
    <w:p>
      <w:pPr>
        <w:pStyle w:val="ListParagraph"/>
        <w:numPr>
          <w:ilvl w:val="0"/>
          <w:numId w:val="2"/>
        </w:numPr>
        <w:spacing w:after="40" w:before="40"/>
      </w:pPr>
      <w:r>
        <w:rPr>
          <w:rFonts w:ascii="Arial" w:cs="Arial" w:eastAsia="Arial" w:hAnsi="Arial"/>
          <w:b w:val="false"/>
          <w:bCs w:val="false"/>
          <w:sz w:val="22"/>
          <w:szCs w:val="22"/>
        </w:rPr>
        <w:t xml:space="preserve">Oversee grievance resolution workflows; escalate or close tickets</w:t>
      </w:r>
    </w:p>
    <w:p>
      <w:pPr>
        <w:pStyle w:val="ListParagraph"/>
        <w:numPr>
          <w:ilvl w:val="0"/>
          <w:numId w:val="2"/>
        </w:numPr>
        <w:spacing w:after="40" w:before="40"/>
      </w:pPr>
      <w:r>
        <w:rPr>
          <w:rFonts w:ascii="Arial" w:cs="Arial" w:eastAsia="Arial" w:hAnsi="Arial"/>
          <w:b w:val="false"/>
          <w:bCs w:val="false"/>
          <w:sz w:val="22"/>
          <w:szCs w:val="22"/>
        </w:rPr>
        <w:t xml:space="preserve">Lock grade sheets at semester close to prevent retroactive edits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C0392B" w:val="clear"/>
            <w:tcMar>
              <w:top w:type="dxa" w:w="120"/>
              <w:left w:type="dxa" w:w="240"/>
              <w:bottom w:type="dxa" w:w="120"/>
              <w:right w:type="dxa" w:w="240"/>
            </w:tcMar>
          </w:tcPr>
          <w:p>
            <w:r>
              <w:rPr>
                <w:rFonts w:ascii="Arial" w:cs="Arial" w:eastAsia="Arial" w:hAnsi="Arial"/>
                <w:b/>
                <w:bCs/>
                <w:color w:val="FFFFFF"/>
                <w:sz w:val="20"/>
                <w:szCs w:val="20"/>
              </w:rPr>
              <w:t xml:space="preserve">3  INFORMATION VISIBILITY</w:t>
            </w:r>
          </w:p>
        </w:tc>
      </w:tr>
    </w:tbl>
    <w:p>
      <w:pPr>
        <w:spacing w:after="0" w:before="120"/>
      </w:pPr>
    </w:p>
    <w:p>
      <w:pPr>
        <w:pStyle w:val="Heading3"/>
      </w:pPr>
      <w:r>
        <w:rPr>
          <w:rFonts w:ascii="Arial" w:cs="Arial" w:eastAsia="Arial" w:hAnsi="Arial"/>
        </w:rPr>
        <w:t xml:space="preserve">Unique to Admin (not visible to Faculty or Students)</w:t>
      </w:r>
    </w:p>
    <w:p>
      <w:pPr>
        <w:pStyle w:val="ListParagraph"/>
        <w:numPr>
          <w:ilvl w:val="0"/>
          <w:numId w:val="2"/>
        </w:numPr>
        <w:spacing w:after="40" w:before="40"/>
      </w:pPr>
      <w:r>
        <w:rPr>
          <w:rFonts w:ascii="Arial" w:cs="Arial" w:eastAsia="Arial" w:hAnsi="Arial"/>
          <w:b w:val="false"/>
          <w:bCs w:val="false"/>
          <w:sz w:val="22"/>
          <w:szCs w:val="22"/>
        </w:rPr>
        <w:t xml:space="preserve">Full cross-departmental student records (marks, attendance, fees across all courses)</w:t>
      </w:r>
    </w:p>
    <w:p>
      <w:pPr>
        <w:pStyle w:val="ListParagraph"/>
        <w:numPr>
          <w:ilvl w:val="0"/>
          <w:numId w:val="2"/>
        </w:numPr>
        <w:spacing w:after="40" w:before="40"/>
      </w:pPr>
      <w:r>
        <w:rPr>
          <w:rFonts w:ascii="Arial" w:cs="Arial" w:eastAsia="Arial" w:hAnsi="Arial"/>
          <w:b w:val="false"/>
          <w:bCs w:val="false"/>
          <w:sz w:val="22"/>
          <w:szCs w:val="22"/>
        </w:rPr>
        <w:t xml:space="preserve">Fee payment gateway logs and financial summaries</w:t>
      </w:r>
    </w:p>
    <w:p>
      <w:pPr>
        <w:pStyle w:val="ListParagraph"/>
        <w:numPr>
          <w:ilvl w:val="0"/>
          <w:numId w:val="2"/>
        </w:numPr>
        <w:spacing w:after="40" w:before="40"/>
      </w:pPr>
      <w:r>
        <w:rPr>
          <w:rFonts w:ascii="Arial" w:cs="Arial" w:eastAsia="Arial" w:hAnsi="Arial"/>
          <w:b w:val="false"/>
          <w:bCs w:val="false"/>
          <w:sz w:val="22"/>
          <w:szCs w:val="22"/>
        </w:rPr>
        <w:t xml:space="preserve">System audit trail: login history, data modification logs, error reports</w:t>
      </w:r>
    </w:p>
    <w:p>
      <w:pPr>
        <w:pStyle w:val="ListParagraph"/>
        <w:numPr>
          <w:ilvl w:val="0"/>
          <w:numId w:val="2"/>
        </w:numPr>
        <w:spacing w:after="40" w:before="40"/>
      </w:pPr>
      <w:r>
        <w:rPr>
          <w:rFonts w:ascii="Arial" w:cs="Arial" w:eastAsia="Arial" w:hAnsi="Arial"/>
          <w:b w:val="false"/>
          <w:bCs w:val="false"/>
          <w:sz w:val="22"/>
          <w:szCs w:val="22"/>
        </w:rPr>
        <w:t xml:space="preserve">Platform analytics: active user counts, feature usage, storage consumption</w:t>
      </w:r>
    </w:p>
    <w:p>
      <w:pPr>
        <w:pStyle w:val="ListParagraph"/>
        <w:numPr>
          <w:ilvl w:val="0"/>
          <w:numId w:val="2"/>
        </w:numPr>
        <w:spacing w:after="40" w:before="40"/>
      </w:pPr>
      <w:r>
        <w:rPr>
          <w:rFonts w:ascii="Arial" w:cs="Arial" w:eastAsia="Arial" w:hAnsi="Arial"/>
          <w:b w:val="false"/>
          <w:bCs w:val="false"/>
          <w:sz w:val="22"/>
          <w:szCs w:val="22"/>
        </w:rPr>
        <w:t xml:space="preserve">All pending grievance details including submitting student identity</w:t>
      </w:r>
    </w:p>
    <w:p>
      <w:pPr>
        <w:pStyle w:val="ListParagraph"/>
        <w:numPr>
          <w:ilvl w:val="0"/>
          <w:numId w:val="2"/>
        </w:numPr>
        <w:spacing w:after="40" w:before="40"/>
      </w:pPr>
      <w:r>
        <w:rPr>
          <w:rFonts w:ascii="Arial" w:cs="Arial" w:eastAsia="Arial" w:hAnsi="Arial"/>
          <w:b w:val="false"/>
          <w:bCs w:val="false"/>
          <w:sz w:val="22"/>
          <w:szCs w:val="22"/>
        </w:rPr>
        <w:t xml:space="preserve">Faculty workload data across all departments</w:t>
      </w:r>
    </w:p>
    <w:p>
      <w:pPr>
        <w:spacing w:after="0" w:before="80"/>
      </w:pPr>
    </w:p>
    <w:p>
      <w:pPr>
        <w:pStyle w:val="Heading3"/>
      </w:pPr>
      <w:r>
        <w:rPr>
          <w:rFonts w:ascii="Arial" w:cs="Arial" w:eastAsia="Arial" w:hAnsi="Arial"/>
        </w:rPr>
        <w:t xml:space="preserve">Shared with Faculty</w:t>
      </w:r>
    </w:p>
    <w:p>
      <w:pPr>
        <w:pStyle w:val="ListParagraph"/>
        <w:numPr>
          <w:ilvl w:val="0"/>
          <w:numId w:val="2"/>
        </w:numPr>
        <w:spacing w:after="40" w:before="40"/>
      </w:pPr>
      <w:r>
        <w:rPr>
          <w:rFonts w:ascii="Arial" w:cs="Arial" w:eastAsia="Arial" w:hAnsi="Arial"/>
          <w:b w:val="false"/>
          <w:bCs w:val="false"/>
          <w:sz w:val="22"/>
          <w:szCs w:val="22"/>
        </w:rPr>
        <w:t xml:space="preserve">Student enrollment lists and basic academic profiles</w:t>
      </w:r>
    </w:p>
    <w:p>
      <w:pPr>
        <w:pStyle w:val="ListParagraph"/>
        <w:numPr>
          <w:ilvl w:val="0"/>
          <w:numId w:val="2"/>
        </w:numPr>
        <w:spacing w:after="40" w:before="40"/>
      </w:pPr>
      <w:r>
        <w:rPr>
          <w:rFonts w:ascii="Arial" w:cs="Arial" w:eastAsia="Arial" w:hAnsi="Arial"/>
          <w:b w:val="false"/>
          <w:bCs w:val="false"/>
          <w:sz w:val="22"/>
          <w:szCs w:val="22"/>
        </w:rPr>
        <w:t xml:space="preserve">Departmental attendance summaries</w:t>
      </w:r>
    </w:p>
    <w:p>
      <w:pPr>
        <w:pStyle w:val="ListParagraph"/>
        <w:numPr>
          <w:ilvl w:val="0"/>
          <w:numId w:val="2"/>
        </w:numPr>
        <w:spacing w:after="40" w:before="40"/>
      </w:pPr>
      <w:r>
        <w:rPr>
          <w:rFonts w:ascii="Arial" w:cs="Arial" w:eastAsia="Arial" w:hAnsi="Arial"/>
          <w:b w:val="false"/>
          <w:bCs w:val="false"/>
          <w:sz w:val="22"/>
          <w:szCs w:val="22"/>
        </w:rPr>
        <w:t xml:space="preserve">Course catalog and assignment metadata</w:t>
      </w:r>
    </w:p>
    <w:p>
      <w:pPr>
        <w:spacing w:after="0" w:before="80"/>
      </w:pPr>
    </w:p>
    <w:p>
      <w:pPr>
        <w:pStyle w:val="Heading3"/>
      </w:pPr>
      <w:r>
        <w:rPr>
          <w:rFonts w:ascii="Arial" w:cs="Arial" w:eastAsia="Arial" w:hAnsi="Arial"/>
        </w:rPr>
        <w:t xml:space="preserve">Shared with all roles</w:t>
      </w:r>
    </w:p>
    <w:p>
      <w:pPr>
        <w:pStyle w:val="ListParagraph"/>
        <w:numPr>
          <w:ilvl w:val="0"/>
          <w:numId w:val="2"/>
        </w:numPr>
        <w:spacing w:after="40" w:before="40"/>
      </w:pPr>
      <w:r>
        <w:rPr>
          <w:rFonts w:ascii="Arial" w:cs="Arial" w:eastAsia="Arial" w:hAnsi="Arial"/>
          <w:b w:val="false"/>
          <w:bCs w:val="false"/>
          <w:sz w:val="22"/>
          <w:szCs w:val="22"/>
        </w:rPr>
        <w:t xml:space="preserve">College-wide announcements</w:t>
      </w:r>
    </w:p>
    <w:p>
      <w:pPr>
        <w:pStyle w:val="ListParagraph"/>
        <w:numPr>
          <w:ilvl w:val="0"/>
          <w:numId w:val="2"/>
        </w:numPr>
        <w:spacing w:after="40" w:before="40"/>
      </w:pPr>
      <w:r>
        <w:rPr>
          <w:rFonts w:ascii="Arial" w:cs="Arial" w:eastAsia="Arial" w:hAnsi="Arial"/>
          <w:b w:val="false"/>
          <w:bCs w:val="false"/>
          <w:sz w:val="22"/>
          <w:szCs w:val="22"/>
        </w:rPr>
        <w:t xml:space="preserve">Academic calendar and holiday schedule</w:t>
      </w:r>
    </w:p>
    <w:p>
      <w:pPr>
        <w:pStyle w:val="ListParagraph"/>
        <w:numPr>
          <w:ilvl w:val="0"/>
          <w:numId w:val="2"/>
        </w:numPr>
        <w:spacing w:after="40" w:before="40"/>
      </w:pPr>
      <w:r>
        <w:rPr>
          <w:rFonts w:ascii="Arial" w:cs="Arial" w:eastAsia="Arial" w:hAnsi="Arial"/>
          <w:b w:val="false"/>
          <w:bCs w:val="false"/>
          <w:sz w:val="22"/>
          <w:szCs w:val="22"/>
        </w:rPr>
        <w:t xml:space="preserve">Publicly listed faculty profiles and office information</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C0392B" w:val="clear"/>
            <w:tcMar>
              <w:top w:type="dxa" w:w="120"/>
              <w:left w:type="dxa" w:w="240"/>
              <w:bottom w:type="dxa" w:w="120"/>
              <w:right w:type="dxa" w:w="240"/>
            </w:tcMar>
          </w:tcPr>
          <w:p>
            <w:r>
              <w:rPr>
                <w:rFonts w:ascii="Arial" w:cs="Arial" w:eastAsia="Arial" w:hAnsi="Arial"/>
                <w:b/>
                <w:bCs/>
                <w:color w:val="FFFFFF"/>
                <w:sz w:val="20"/>
                <w:szCs w:val="20"/>
              </w:rPr>
              <w:t xml:space="preserve">4  WORKFLOW EXAMPLES</w:t>
            </w:r>
          </w:p>
        </w:tc>
      </w:tr>
    </w:tbl>
    <w:p>
      <w:pPr>
        <w:spacing w:after="0" w:before="120"/>
      </w:pPr>
    </w:p>
    <w:p>
      <w:pPr>
        <w:pStyle w:val="Heading3"/>
      </w:pPr>
      <w:r>
        <w:rPr>
          <w:rFonts w:ascii="Arial" w:cs="Arial" w:eastAsia="Arial" w:hAnsi="Arial"/>
        </w:rPr>
        <w:t xml:space="preserve">Workflow A — Semester Onboarding (Bulk User Creation)</w:t>
      </w:r>
    </w:p>
    <w:p>
      <w:pPr>
        <w:spacing w:after="80" w:before="40"/>
      </w:pPr>
      <w:r>
        <w:rPr>
          <w:rFonts w:ascii="Arial" w:cs="Arial" w:eastAsia="Arial" w:hAnsi="Arial"/>
          <w:sz w:val="22"/>
          <w:szCs w:val="22"/>
        </w:rPr>
        <w:t xml:space="preserve">Trigger: New academic year begins; 240 first-year students must be onboarded.</w:t>
      </w:r>
    </w:p>
    <w:p>
      <w:pPr>
        <w:spacing w:after="0" w:before="40"/>
      </w:pPr>
    </w:p>
    <w:p>
      <w:pPr>
        <w:pStyle w:val="ListParagraph"/>
        <w:numPr>
          <w:ilvl w:val="0"/>
          <w:numId w:val="2"/>
        </w:numPr>
        <w:spacing w:after="40" w:before="40"/>
      </w:pPr>
      <w:r>
        <w:rPr>
          <w:rFonts w:ascii="Arial" w:cs="Arial" w:eastAsia="Arial" w:hAnsi="Arial"/>
          <w:b w:val="false"/>
          <w:bCs w:val="false"/>
          <w:sz w:val="22"/>
          <w:szCs w:val="22"/>
        </w:rPr>
        <w:t xml:space="preserve">Admin downloads the student import CSV template from the platform</w:t>
      </w:r>
    </w:p>
    <w:p>
      <w:pPr>
        <w:pStyle w:val="ListParagraph"/>
        <w:numPr>
          <w:ilvl w:val="0"/>
          <w:numId w:val="2"/>
        </w:numPr>
        <w:spacing w:after="40" w:before="40"/>
      </w:pPr>
      <w:r>
        <w:rPr>
          <w:rFonts w:ascii="Arial" w:cs="Arial" w:eastAsia="Arial" w:hAnsi="Arial"/>
          <w:b w:val="false"/>
          <w:bCs w:val="false"/>
          <w:sz w:val="22"/>
          <w:szCs w:val="22"/>
        </w:rPr>
        <w:t xml:space="preserve">Fills it with student details (name, roll number, program, section, email) from the college ERP</w:t>
      </w:r>
    </w:p>
    <w:p>
      <w:pPr>
        <w:pStyle w:val="ListParagraph"/>
        <w:numPr>
          <w:ilvl w:val="0"/>
          <w:numId w:val="2"/>
        </w:numPr>
        <w:spacing w:after="40" w:before="40"/>
      </w:pPr>
      <w:r>
        <w:rPr>
          <w:rFonts w:ascii="Arial" w:cs="Arial" w:eastAsia="Arial" w:hAnsi="Arial"/>
          <w:b w:val="false"/>
          <w:bCs w:val="false"/>
          <w:sz w:val="22"/>
          <w:szCs w:val="22"/>
        </w:rPr>
        <w:t xml:space="preserve">Uploads the CSV; the system validates for duplicate roll numbers and format errors</w:t>
      </w:r>
    </w:p>
    <w:p>
      <w:pPr>
        <w:pStyle w:val="ListParagraph"/>
        <w:numPr>
          <w:ilvl w:val="0"/>
          <w:numId w:val="2"/>
        </w:numPr>
        <w:spacing w:after="40" w:before="40"/>
      </w:pPr>
      <w:r>
        <w:rPr>
          <w:rFonts w:ascii="Arial" w:cs="Arial" w:eastAsia="Arial" w:hAnsi="Arial"/>
          <w:b w:val="false"/>
          <w:bCs w:val="false"/>
          <w:sz w:val="22"/>
          <w:szCs w:val="22"/>
        </w:rPr>
        <w:t xml:space="preserve">Admin reviews the validation report, corrects 3 flagged entries, and re-uploads</w:t>
      </w:r>
    </w:p>
    <w:p>
      <w:pPr>
        <w:pStyle w:val="ListParagraph"/>
        <w:numPr>
          <w:ilvl w:val="0"/>
          <w:numId w:val="2"/>
        </w:numPr>
        <w:spacing w:after="40" w:before="40"/>
      </w:pPr>
      <w:r>
        <w:rPr>
          <w:rFonts w:ascii="Arial" w:cs="Arial" w:eastAsia="Arial" w:hAnsi="Arial"/>
          <w:b w:val="false"/>
          <w:bCs w:val="false"/>
          <w:sz w:val="22"/>
          <w:szCs w:val="22"/>
        </w:rPr>
        <w:t xml:space="preserve">Confirms bulk creation; 240 accounts are provisioned and welcome emails are dispatched</w:t>
      </w:r>
    </w:p>
    <w:p>
      <w:pPr>
        <w:pStyle w:val="ListParagraph"/>
        <w:numPr>
          <w:ilvl w:val="0"/>
          <w:numId w:val="2"/>
        </w:numPr>
        <w:spacing w:after="40" w:before="40"/>
      </w:pPr>
      <w:r>
        <w:rPr>
          <w:rFonts w:ascii="Arial" w:cs="Arial" w:eastAsia="Arial" w:hAnsi="Arial"/>
          <w:b w:val="false"/>
          <w:bCs w:val="false"/>
          <w:sz w:val="22"/>
          <w:szCs w:val="22"/>
        </w:rPr>
        <w:t xml:space="preserve">Admin maps the students to their enrolled courses and assigns Faculty to each course</w:t>
      </w:r>
    </w:p>
    <w:p>
      <w:pPr>
        <w:spacing w:after="80" w:before="40"/>
      </w:pPr>
      <w:r>
        <w:rPr>
          <w:rFonts w:ascii="Arial" w:cs="Arial" w:eastAsia="Arial" w:hAnsi="Arial"/>
          <w:color w:val="555555"/>
          <w:sz w:val="22"/>
          <w:szCs w:val="22"/>
        </w:rPr>
        <w:t xml:space="preserve">Outcome: All students and faculty are linked to their courses before Day 1 of classes.</w:t>
      </w:r>
    </w:p>
    <w:p>
      <w:pPr>
        <w:spacing w:after="0" w:before="80"/>
      </w:pPr>
    </w:p>
    <w:p>
      <w:pPr>
        <w:pStyle w:val="Heading3"/>
      </w:pPr>
      <w:r>
        <w:rPr>
          <w:rFonts w:ascii="Arial" w:cs="Arial" w:eastAsia="Arial" w:hAnsi="Arial"/>
        </w:rPr>
        <w:t xml:space="preserve">Workflow B — NAAC Compliance Report Generation</w:t>
      </w:r>
    </w:p>
    <w:p>
      <w:pPr>
        <w:spacing w:after="80" w:before="40"/>
      </w:pPr>
      <w:r>
        <w:rPr>
          <w:rFonts w:ascii="Arial" w:cs="Arial" w:eastAsia="Arial" w:hAnsi="Arial"/>
          <w:sz w:val="22"/>
          <w:szCs w:val="22"/>
        </w:rPr>
        <w:t xml:space="preserve">Trigger: Accreditation visit in 2 weeks; committee needs 3-year attendance and pass-rate data.</w:t>
      </w:r>
    </w:p>
    <w:p>
      <w:pPr>
        <w:spacing w:after="0" w:before="40"/>
      </w:pPr>
    </w:p>
    <w:p>
      <w:pPr>
        <w:pStyle w:val="ListParagraph"/>
        <w:numPr>
          <w:ilvl w:val="0"/>
          <w:numId w:val="2"/>
        </w:numPr>
        <w:spacing w:after="40" w:before="40"/>
      </w:pPr>
      <w:r>
        <w:rPr>
          <w:rFonts w:ascii="Arial" w:cs="Arial" w:eastAsia="Arial" w:hAnsi="Arial"/>
          <w:b w:val="false"/>
          <w:bCs w:val="false"/>
          <w:sz w:val="22"/>
          <w:szCs w:val="22"/>
        </w:rPr>
        <w:t xml:space="preserve">Admin navigates to Reports &gt; Academic Performance</w:t>
      </w:r>
    </w:p>
    <w:p>
      <w:pPr>
        <w:pStyle w:val="ListParagraph"/>
        <w:numPr>
          <w:ilvl w:val="0"/>
          <w:numId w:val="2"/>
        </w:numPr>
        <w:spacing w:after="40" w:before="40"/>
      </w:pPr>
      <w:r>
        <w:rPr>
          <w:rFonts w:ascii="Arial" w:cs="Arial" w:eastAsia="Arial" w:hAnsi="Arial"/>
          <w:b w:val="false"/>
          <w:bCs w:val="false"/>
          <w:sz w:val="22"/>
          <w:szCs w:val="22"/>
        </w:rPr>
        <w:t xml:space="preserve">Sets filters: all departments, academic years 2022–2025, metrics = attendance % and pass %</w:t>
      </w:r>
    </w:p>
    <w:p>
      <w:pPr>
        <w:pStyle w:val="ListParagraph"/>
        <w:numPr>
          <w:ilvl w:val="0"/>
          <w:numId w:val="2"/>
        </w:numPr>
        <w:spacing w:after="40" w:before="40"/>
      </w:pPr>
      <w:r>
        <w:rPr>
          <w:rFonts w:ascii="Arial" w:cs="Arial" w:eastAsia="Arial" w:hAnsi="Arial"/>
          <w:b w:val="false"/>
          <w:bCs w:val="false"/>
          <w:sz w:val="22"/>
          <w:szCs w:val="22"/>
        </w:rPr>
        <w:t xml:space="preserve">Runs report; previews a cross-departmental table with per-subject granularity</w:t>
      </w:r>
    </w:p>
    <w:p>
      <w:pPr>
        <w:pStyle w:val="ListParagraph"/>
        <w:numPr>
          <w:ilvl w:val="0"/>
          <w:numId w:val="2"/>
        </w:numPr>
        <w:spacing w:after="40" w:before="40"/>
      </w:pPr>
      <w:r>
        <w:rPr>
          <w:rFonts w:ascii="Arial" w:cs="Arial" w:eastAsia="Arial" w:hAnsi="Arial"/>
          <w:b w:val="false"/>
          <w:bCs w:val="false"/>
          <w:sz w:val="22"/>
          <w:szCs w:val="22"/>
        </w:rPr>
        <w:t xml:space="preserve">Exports to PDF and Excel; attaches the PDF to the accreditation portal submission</w:t>
      </w:r>
    </w:p>
    <w:p>
      <w:pPr>
        <w:spacing w:after="80" w:before="40"/>
      </w:pPr>
      <w:r>
        <w:rPr>
          <w:rFonts w:ascii="Arial" w:cs="Arial" w:eastAsia="Arial" w:hAnsi="Arial"/>
          <w:color w:val="555555"/>
          <w:sz w:val="22"/>
          <w:szCs w:val="22"/>
        </w:rPr>
        <w:t xml:space="preserve">Outcome: Compliance data delivered in under 10 minutes; no faculty coordination needed.</w:t>
      </w:r>
    </w:p>
    <w:p>
      <w:pPr>
        <w:spacing w:after="0" w:before="80"/>
      </w:pPr>
    </w:p>
    <w:p>
      <w:pPr>
        <w:pStyle w:val="Heading3"/>
      </w:pPr>
      <w:r>
        <w:rPr>
          <w:rFonts w:ascii="Arial" w:cs="Arial" w:eastAsia="Arial" w:hAnsi="Arial"/>
        </w:rPr>
        <w:t xml:space="preserve">Workflow C — Fee Reconciliation &amp; Clearance</w:t>
      </w:r>
    </w:p>
    <w:p>
      <w:pPr>
        <w:spacing w:after="80" w:before="40"/>
      </w:pPr>
      <w:r>
        <w:rPr>
          <w:rFonts w:ascii="Arial" w:cs="Arial" w:eastAsia="Arial" w:hAnsi="Arial"/>
          <w:sz w:val="22"/>
          <w:szCs w:val="22"/>
        </w:rPr>
        <w:t xml:space="preserve">Trigger: Student contacts Admin claiming a fee payment is not reflected in their portal.</w:t>
      </w:r>
    </w:p>
    <w:p>
      <w:pPr>
        <w:spacing w:after="0" w:before="40"/>
      </w:pPr>
    </w:p>
    <w:p>
      <w:pPr>
        <w:pStyle w:val="ListParagraph"/>
        <w:numPr>
          <w:ilvl w:val="0"/>
          <w:numId w:val="2"/>
        </w:numPr>
        <w:spacing w:after="40" w:before="40"/>
      </w:pPr>
      <w:r>
        <w:rPr>
          <w:rFonts w:ascii="Arial" w:cs="Arial" w:eastAsia="Arial" w:hAnsi="Arial"/>
          <w:b w:val="false"/>
          <w:bCs w:val="false"/>
          <w:sz w:val="22"/>
          <w:szCs w:val="22"/>
        </w:rPr>
        <w:t xml:space="preserve">Admin opens Student Records &gt; search by roll number &gt; Fee Ledger tab</w:t>
      </w:r>
    </w:p>
    <w:p>
      <w:pPr>
        <w:pStyle w:val="ListParagraph"/>
        <w:numPr>
          <w:ilvl w:val="0"/>
          <w:numId w:val="2"/>
        </w:numPr>
        <w:spacing w:after="40" w:before="40"/>
      </w:pPr>
      <w:r>
        <w:rPr>
          <w:rFonts w:ascii="Arial" w:cs="Arial" w:eastAsia="Arial" w:hAnsi="Arial"/>
          <w:b w:val="false"/>
          <w:bCs w:val="false"/>
          <w:sz w:val="22"/>
          <w:szCs w:val="22"/>
        </w:rPr>
        <w:t xml:space="preserve">Accesses the Payment Gateway Logs panel; locates the transaction by UTR number</w:t>
      </w:r>
    </w:p>
    <w:p>
      <w:pPr>
        <w:pStyle w:val="ListParagraph"/>
        <w:numPr>
          <w:ilvl w:val="0"/>
          <w:numId w:val="2"/>
        </w:numPr>
        <w:spacing w:after="40" w:before="40"/>
      </w:pPr>
      <w:r>
        <w:rPr>
          <w:rFonts w:ascii="Arial" w:cs="Arial" w:eastAsia="Arial" w:hAnsi="Arial"/>
          <w:b w:val="false"/>
          <w:bCs w:val="false"/>
          <w:sz w:val="22"/>
          <w:szCs w:val="22"/>
        </w:rPr>
        <w:t xml:space="preserve">Confirms the payment was captured but not reconciled due to a gateway delay</w:t>
      </w:r>
    </w:p>
    <w:p>
      <w:pPr>
        <w:pStyle w:val="ListParagraph"/>
        <w:numPr>
          <w:ilvl w:val="0"/>
          <w:numId w:val="2"/>
        </w:numPr>
        <w:spacing w:after="40" w:before="40"/>
      </w:pPr>
      <w:r>
        <w:rPr>
          <w:rFonts w:ascii="Arial" w:cs="Arial" w:eastAsia="Arial" w:hAnsi="Arial"/>
          <w:b w:val="false"/>
          <w:bCs w:val="false"/>
          <w:sz w:val="22"/>
          <w:szCs w:val="22"/>
        </w:rPr>
        <w:t xml:space="preserve">Manually marks the installment as Paid, adds a note referencing the UTR number</w:t>
      </w:r>
    </w:p>
    <w:p>
      <w:pPr>
        <w:pStyle w:val="ListParagraph"/>
        <w:numPr>
          <w:ilvl w:val="0"/>
          <w:numId w:val="2"/>
        </w:numPr>
        <w:spacing w:after="40" w:before="40"/>
      </w:pPr>
      <w:r>
        <w:rPr>
          <w:rFonts w:ascii="Arial" w:cs="Arial" w:eastAsia="Arial" w:hAnsi="Arial"/>
          <w:b w:val="false"/>
          <w:bCs w:val="false"/>
          <w:sz w:val="22"/>
          <w:szCs w:val="22"/>
        </w:rPr>
        <w:t xml:space="preserve">Student's portal immediately reflects cleared dues; auto-notification is sent</w:t>
      </w:r>
    </w:p>
    <w:p>
      <w:pPr>
        <w:spacing w:after="80" w:before="40"/>
      </w:pPr>
      <w:r>
        <w:rPr>
          <w:rFonts w:ascii="Arial" w:cs="Arial" w:eastAsia="Arial" w:hAnsi="Arial"/>
          <w:color w:val="555555"/>
          <w:sz w:val="22"/>
          <w:szCs w:val="22"/>
        </w:rPr>
        <w:t xml:space="preserve">Outcome: Dispute resolved without requiring the student to re-pay or escalate.</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C0392B" w:val="clear"/>
            <w:tcMar>
              <w:top w:type="dxa" w:w="120"/>
              <w:left w:type="dxa" w:w="240"/>
              <w:bottom w:type="dxa" w:w="120"/>
              <w:right w:type="dxa" w:w="240"/>
            </w:tcMar>
          </w:tcPr>
          <w:p>
            <w:r>
              <w:rPr>
                <w:rFonts w:ascii="Arial" w:cs="Arial" w:eastAsia="Arial" w:hAnsi="Arial"/>
                <w:b/>
                <w:bCs/>
                <w:color w:val="FFFFFF"/>
                <w:sz w:val="20"/>
                <w:szCs w:val="20"/>
              </w:rPr>
              <w:t xml:space="preserve">5  PERMISSION BOUNDARIES — WHAT ADMIN CANNOT DO</w:t>
            </w:r>
          </w:p>
        </w:tc>
      </w:tr>
    </w:tbl>
    <w:p>
      <w:pPr>
        <w:spacing w:after="0" w:before="120"/>
      </w:pPr>
    </w:p>
    <w:p>
      <w:pPr>
        <w:spacing w:after="80" w:before="40"/>
      </w:pPr>
      <w:r>
        <w:rPr>
          <w:rFonts w:ascii="Arial" w:cs="Arial" w:eastAsia="Arial" w:hAnsi="Arial"/>
          <w:sz w:val="22"/>
          <w:szCs w:val="22"/>
        </w:rPr>
        <w:t xml:space="preserve">These boundaries exist to preserve academic integrity and appropriate separation of concerns.</w:t>
      </w:r>
    </w:p>
    <w:p>
      <w:pPr>
        <w:spacing w:after="0" w:before="80"/>
      </w:pPr>
    </w:p>
    <w:p>
      <w:pPr>
        <w:pStyle w:val="ListParagraph"/>
        <w:numPr>
          <w:ilvl w:val="0"/>
          <w:numId w:val="2"/>
        </w:numPr>
        <w:spacing w:after="40" w:before="40"/>
      </w:pPr>
      <w:r>
        <w:rPr>
          <w:rFonts w:ascii="Arial" w:cs="Arial" w:eastAsia="Arial" w:hAnsi="Arial"/>
          <w:b w:val="false"/>
          <w:bCs w:val="false"/>
          <w:sz w:val="22"/>
          <w:szCs w:val="22"/>
        </w:rPr>
        <w:t xml:space="preserve">Cannot enter, edit, or delete grades — grade management is exclusively a Faculty action</w:t>
      </w:r>
    </w:p>
    <w:p>
      <w:pPr>
        <w:pStyle w:val="ListParagraph"/>
        <w:numPr>
          <w:ilvl w:val="0"/>
          <w:numId w:val="2"/>
        </w:numPr>
        <w:spacing w:after="40" w:before="40"/>
      </w:pPr>
      <w:r>
        <w:rPr>
          <w:rFonts w:ascii="Arial" w:cs="Arial" w:eastAsia="Arial" w:hAnsi="Arial"/>
          <w:b w:val="false"/>
          <w:bCs w:val="false"/>
          <w:sz w:val="22"/>
          <w:szCs w:val="22"/>
        </w:rPr>
        <w:t xml:space="preserve">Cannot view in-progress (unpublished) grades before Faculty publishes them</w:t>
      </w:r>
    </w:p>
    <w:p>
      <w:pPr>
        <w:pStyle w:val="ListParagraph"/>
        <w:numPr>
          <w:ilvl w:val="0"/>
          <w:numId w:val="2"/>
        </w:numPr>
        <w:spacing w:after="40" w:before="40"/>
      </w:pPr>
      <w:r>
        <w:rPr>
          <w:rFonts w:ascii="Arial" w:cs="Arial" w:eastAsia="Arial" w:hAnsi="Arial"/>
          <w:b w:val="false"/>
          <w:bCs w:val="false"/>
          <w:sz w:val="22"/>
          <w:szCs w:val="22"/>
        </w:rPr>
        <w:t xml:space="preserve">Cannot create or submit course assignments — assignment authoring belongs to Faculty</w:t>
      </w:r>
    </w:p>
    <w:p>
      <w:pPr>
        <w:pStyle w:val="ListParagraph"/>
        <w:numPr>
          <w:ilvl w:val="0"/>
          <w:numId w:val="2"/>
        </w:numPr>
        <w:spacing w:after="40" w:before="40"/>
      </w:pPr>
      <w:r>
        <w:rPr>
          <w:rFonts w:ascii="Arial" w:cs="Arial" w:eastAsia="Arial" w:hAnsi="Arial"/>
          <w:b w:val="false"/>
          <w:bCs w:val="false"/>
          <w:sz w:val="22"/>
          <w:szCs w:val="22"/>
        </w:rPr>
        <w:t xml:space="preserve">Cannot mark attendance for a class — only the assigned Faculty member can do this</w:t>
      </w:r>
    </w:p>
    <w:p>
      <w:pPr>
        <w:pStyle w:val="ListParagraph"/>
        <w:numPr>
          <w:ilvl w:val="0"/>
          <w:numId w:val="2"/>
        </w:numPr>
        <w:spacing w:after="40" w:before="40"/>
      </w:pPr>
      <w:r>
        <w:rPr>
          <w:rFonts w:ascii="Arial" w:cs="Arial" w:eastAsia="Arial" w:hAnsi="Arial"/>
          <w:b w:val="false"/>
          <w:bCs w:val="false"/>
          <w:sz w:val="22"/>
          <w:szCs w:val="22"/>
        </w:rPr>
        <w:t xml:space="preserve">Cannot impersonate another user's session or submit on behalf of a student</w:t>
      </w:r>
    </w:p>
    <w:p>
      <w:pPr>
        <w:pStyle w:val="ListParagraph"/>
        <w:numPr>
          <w:ilvl w:val="0"/>
          <w:numId w:val="2"/>
        </w:numPr>
        <w:spacing w:after="40" w:before="40"/>
      </w:pPr>
      <w:r>
        <w:rPr>
          <w:rFonts w:ascii="Arial" w:cs="Arial" w:eastAsia="Arial" w:hAnsi="Arial"/>
          <w:b w:val="false"/>
          <w:bCs w:val="false"/>
          <w:sz w:val="22"/>
          <w:szCs w:val="22"/>
        </w:rPr>
        <w:t xml:space="preserve">Cannot modify the content of uploaded course materials or assignment submissions</w:t>
      </w:r>
    </w:p>
    <w:p>
      <w:pPr>
        <w:pStyle w:val="ListParagraph"/>
        <w:numPr>
          <w:ilvl w:val="0"/>
          <w:numId w:val="2"/>
        </w:numPr>
        <w:spacing w:after="40" w:before="40"/>
      </w:pPr>
      <w:r>
        <w:rPr>
          <w:rFonts w:ascii="Arial" w:cs="Arial" w:eastAsia="Arial" w:hAnsi="Arial"/>
          <w:b w:val="false"/>
          <w:bCs w:val="false"/>
          <w:sz w:val="22"/>
          <w:szCs w:val="22"/>
        </w:rPr>
        <w:t xml:space="preserve">Cannot directly message the entire student body without using the formal Announcement module (preserves audit trail)</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C0392B" w:val="clear"/>
            <w:tcMar>
              <w:top w:type="dxa" w:w="120"/>
              <w:left w:type="dxa" w:w="240"/>
              <w:bottom w:type="dxa" w:w="120"/>
              <w:right w:type="dxa" w:w="240"/>
            </w:tcMar>
          </w:tcPr>
          <w:p>
            <w:r>
              <w:rPr>
                <w:rFonts w:ascii="Arial" w:cs="Arial" w:eastAsia="Arial" w:hAnsi="Arial"/>
                <w:b/>
                <w:bCs/>
                <w:color w:val="FFFFFF"/>
                <w:sz w:val="20"/>
                <w:szCs w:val="20"/>
              </w:rPr>
              <w:t xml:space="preserve">DEVELOPER NOTES — DB &amp; UI PERMISSIONS</w:t>
            </w:r>
          </w:p>
        </w:tc>
      </w:tr>
    </w:tbl>
    <w:p>
      <w:pPr>
        <w:spacing w:after="0" w:before="120"/>
      </w:pPr>
    </w:p>
    <w:p>
      <w:pPr>
        <w:spacing w:after="80" w:before="40"/>
      </w:pPr>
      <w:r>
        <w:rPr>
          <w:rFonts w:ascii="Arial" w:cs="Arial" w:eastAsia="Arial" w:hAnsi="Arial"/>
          <w:sz w:val="22"/>
          <w:szCs w:val="22"/>
        </w:rPr>
        <w:t xml:space="preserve">The following notes are intended to guide database permission design and UI access logic for the Admin role.</w:t>
      </w:r>
    </w:p>
    <w:p>
      <w:pPr>
        <w:spacing w:after="0" w:before="80"/>
      </w:pPr>
    </w:p>
    <w:p>
      <w:pPr>
        <w:pStyle w:val="Heading3"/>
      </w:pPr>
      <w:r>
        <w:rPr>
          <w:rFonts w:ascii="Arial" w:cs="Arial" w:eastAsia="Arial" w:hAnsi="Arial"/>
        </w:rPr>
        <w:t xml:space="preserve">Recommended DB Role Scope</w:t>
      </w:r>
    </w:p>
    <w:p>
      <w:pPr>
        <w:pStyle w:val="ListParagraph"/>
        <w:numPr>
          <w:ilvl w:val="0"/>
          <w:numId w:val="2"/>
        </w:numPr>
        <w:spacing w:after="40" w:before="40"/>
      </w:pPr>
      <w:r>
        <w:rPr>
          <w:rFonts w:ascii="Arial" w:cs="Arial" w:eastAsia="Arial" w:hAnsi="Arial"/>
          <w:b w:val="false"/>
          <w:bCs w:val="false"/>
          <w:sz w:val="22"/>
          <w:szCs w:val="22"/>
        </w:rPr>
        <w:t xml:space="preserve">Admin maps to a db_admin role with SELECT, INSERT, UPDATE on all tables</w:t>
      </w:r>
    </w:p>
    <w:p>
      <w:pPr>
        <w:pStyle w:val="ListParagraph"/>
        <w:numPr>
          <w:ilvl w:val="0"/>
          <w:numId w:val="2"/>
        </w:numPr>
        <w:spacing w:after="40" w:before="40"/>
      </w:pPr>
      <w:r>
        <w:rPr>
          <w:rFonts w:ascii="Arial" w:cs="Arial" w:eastAsia="Arial" w:hAnsi="Arial"/>
          <w:b w:val="false"/>
          <w:bCs w:val="false"/>
          <w:sz w:val="22"/>
          <w:szCs w:val="22"/>
        </w:rPr>
        <w:t xml:space="preserve">DELETE permission restricted to: users, departments, courses, announcements — not on grades or submissions</w:t>
      </w:r>
    </w:p>
    <w:p>
      <w:pPr>
        <w:pStyle w:val="ListParagraph"/>
        <w:numPr>
          <w:ilvl w:val="0"/>
          <w:numId w:val="2"/>
        </w:numPr>
        <w:spacing w:after="40" w:before="40"/>
      </w:pPr>
      <w:r>
        <w:rPr>
          <w:rFonts w:ascii="Arial" w:cs="Arial" w:eastAsia="Arial" w:hAnsi="Arial"/>
          <w:b w:val="false"/>
          <w:bCs w:val="false"/>
          <w:sz w:val="22"/>
          <w:szCs w:val="22"/>
        </w:rPr>
        <w:t xml:space="preserve">Audit log table: INSERT only (no UPDATE or DELETE — immutable append-only)</w:t>
      </w:r>
    </w:p>
    <w:p>
      <w:pPr>
        <w:spacing w:after="0" w:before="80"/>
      </w:pPr>
    </w:p>
    <w:p>
      <w:pPr>
        <w:pStyle w:val="Heading3"/>
      </w:pPr>
      <w:r>
        <w:rPr>
          <w:rFonts w:ascii="Arial" w:cs="Arial" w:eastAsia="Arial" w:hAnsi="Arial"/>
        </w:rPr>
        <w:t xml:space="preserve">UI Access Logic</w:t>
      </w:r>
    </w:p>
    <w:p>
      <w:pPr>
        <w:pStyle w:val="ListParagraph"/>
        <w:numPr>
          <w:ilvl w:val="0"/>
          <w:numId w:val="2"/>
        </w:numPr>
        <w:spacing w:after="40" w:before="40"/>
      </w:pPr>
      <w:r>
        <w:rPr>
          <w:rFonts w:ascii="Arial" w:cs="Arial" w:eastAsia="Arial" w:hAnsi="Arial"/>
          <w:b w:val="false"/>
          <w:bCs w:val="false"/>
          <w:sz w:val="22"/>
          <w:szCs w:val="22"/>
        </w:rPr>
        <w:t xml:space="preserve">Admin dashboard surfaces system health widgets (active users, pending requests, storage)</w:t>
      </w:r>
    </w:p>
    <w:p>
      <w:pPr>
        <w:pStyle w:val="ListParagraph"/>
        <w:numPr>
          <w:ilvl w:val="0"/>
          <w:numId w:val="2"/>
        </w:numPr>
        <w:spacing w:after="40" w:before="40"/>
      </w:pPr>
      <w:r>
        <w:rPr>
          <w:rFonts w:ascii="Arial" w:cs="Arial" w:eastAsia="Arial" w:hAnsi="Arial"/>
          <w:b w:val="false"/>
          <w:bCs w:val="false"/>
          <w:sz w:val="22"/>
          <w:szCs w:val="22"/>
        </w:rPr>
        <w:t xml:space="preserve">All navigation items visible; no feature gating except grade entry (hidden from Admin UI entirely)</w:t>
      </w:r>
    </w:p>
    <w:p>
      <w:pPr>
        <w:pStyle w:val="ListParagraph"/>
        <w:numPr>
          <w:ilvl w:val="0"/>
          <w:numId w:val="2"/>
        </w:numPr>
        <w:spacing w:after="40" w:before="40"/>
      </w:pPr>
      <w:r>
        <w:rPr>
          <w:rFonts w:ascii="Arial" w:cs="Arial" w:eastAsia="Arial" w:hAnsi="Arial"/>
          <w:b w:val="false"/>
          <w:bCs w:val="false"/>
          <w:sz w:val="22"/>
          <w:szCs w:val="22"/>
        </w:rPr>
        <w:t xml:space="preserve">Bulk operations (CSV import, batch notifications) exposed only in Admin role</w:t>
      </w:r>
    </w:p>
    <w:p>
      <w:pPr>
        <w:pStyle w:val="ListParagraph"/>
        <w:numPr>
          <w:ilvl w:val="0"/>
          <w:numId w:val="2"/>
        </w:numPr>
        <w:spacing w:after="40" w:before="40"/>
      </w:pPr>
      <w:r>
        <w:rPr>
          <w:rFonts w:ascii="Arial" w:cs="Arial" w:eastAsia="Arial" w:hAnsi="Arial"/>
          <w:b w:val="false"/>
          <w:bCs w:val="false"/>
          <w:sz w:val="22"/>
          <w:szCs w:val="22"/>
        </w:rPr>
        <w:t xml:space="preserve">Grade sheet view is read-only in Admin UI; Edit button absent</w:t>
      </w:r>
    </w:p>
    <w:p>
      <w:pPr>
        <w:spacing w:after="0" w:before="160"/>
      </w:pP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1"/>
      </w:pBdr>
      <w:spacing w:after="120" w:before="0"/>
    </w:pPr>
    <w:r>
      <w:rPr>
        <w:rFonts w:ascii="Arial" w:cs="Arial" w:eastAsia="Arial" w:hAnsi="Arial"/>
        <w:color w:val="888888"/>
        <w:sz w:val="18"/>
        <w:szCs w:val="18"/>
      </w:rPr>
      <w:t xml:space="preserve">CEC Platform  |  </w:t>
    </w:r>
    <w:r>
      <w:rPr>
        <w:rFonts w:ascii="Arial" w:cs="Arial" w:eastAsia="Arial" w:hAnsi="Arial"/>
        <w:b/>
        <w:bCs/>
        <w:color w:val="C0392B"/>
        <w:sz w:val="18"/>
        <w:szCs w:val="18"/>
      </w:rPr>
      <w:t xml:space="preserve">iteration_admin</w:t>
    </w:r>
    <w:r>
      <w:rPr>
        <w:rFonts w:ascii="Arial" w:cs="Arial" w:eastAsia="Arial" w:hAnsi="Arial"/>
        <w:color w:val="888888"/>
        <w:sz w:val="18"/>
        <w:szCs w:val="18"/>
      </w:rPr>
      <w:t xml:space="preserve">  |  City Engineering College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C0392B"/>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C0392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2026-03-15T06:07:53.900Z</dcterms:created>
  <dcterms:modified xsi:type="dcterms:W3CDTF">2026-03-15T06:07:53.901Z</dcterms:modified>
</cp:coreProperties>
</file>

<file path=docProps/custom.xml><?xml version="1.0" encoding="utf-8"?>
<Properties xmlns="http://schemas.openxmlformats.org/officeDocument/2006/custom-properties" xmlns:vt="http://schemas.openxmlformats.org/officeDocument/2006/docPropsVTypes"/>
</file>