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A65A16"/>
          <w:sz w:val="22"/>
          <w:szCs w:val="22"/>
        </w:rPr>
        <w:t xml:space="preserve">J26-DS-336 · Progress Presentation 1</w:t>
      </w:r>
    </w:p>
    <w:p>
      <w:pPr>
        <w:pStyle w:val="Title"/>
        <w:spacing w:after="120"/>
      </w:pPr>
      <w:r>
        <w:t xml:space="preserve">Presentation Script and Demonstration Guide</w:t>
      </w:r>
    </w:p>
    <w:p>
      <w:pPr>
        <w:spacing w:after="120"/>
      </w:pPr>
      <w:r>
        <w:rPr>
          <w:i/>
          <w:iCs/>
          <w:color w:val="4B5563"/>
        </w:rPr>
        <w:t xml:space="preserve">Distributed Multi-Agent SLM Framework for Privacy-Preserving Enterprise Data Intelligence</w:t>
      </w:r>
    </w:p>
    <w:p>
      <w:pPr>
        <w:spacing w:after="120"/>
      </w:pPr>
      <w:r>
        <w:t xml:space="preserve">Word-for-word script for the 16 slides of J26-DS-336_PP1_Presentation.pptx, then how to run the 10-minute demonstration. Each orange label names the box or row on the slide; point at it while you say that part. Rehearse out loud until each part fits its time, and speak from memory.</w:t>
      </w:r>
    </w:p>
    <w:p>
      <w:pPr>
        <w:pStyle w:val="Heading1"/>
        <w:spacing w:after="160" w:before="360"/>
      </w:pPr>
      <w:r>
        <w:t xml:space="preserve">Running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226"/>
        <w:gridCol w:w="1600"/>
      </w:tblGrid>
      <w:tr>
        <w:trPr>
          <w:tblHeader/>
        </w:trPr>
        <w:tc>
          <w:tcPr>
            <w:tcW w:type="dxa" w:w="4200"/>
            <w:tcBorders>
              <w:top w:val="single" w:color="D5DAE1" w:sz="4"/>
              <w:left w:val="single" w:color="D5DAE1" w:sz="4"/>
              <w:bottom w:val="single" w:color="D5DAE1" w:sz="4"/>
              <w:right w:val="single" w:color="D5DAE1" w:sz="4"/>
            </w:tcBorders>
            <w:shd w:fill="14213D" w:color="auto" w:val="clear"/>
            <w:tcMar>
              <w:top w:type="dxa" w:w="60"/>
              <w:left w:type="dxa" w:w="100"/>
              <w:bottom w:type="dxa" w:w="60"/>
              <w:right w:type="dxa" w:w="100"/>
            </w:tcMar>
          </w:tcPr>
          <w:p>
            <w:r>
              <w:rPr>
                <w:b/>
                <w:bCs/>
                <w:color w:val="FFFFFF"/>
                <w:sz w:val="20"/>
                <w:szCs w:val="20"/>
              </w:rPr>
              <w:t xml:space="preserve">Slides</w:t>
            </w:r>
          </w:p>
        </w:tc>
        <w:tc>
          <w:tcPr>
            <w:tcW w:type="dxa" w:w="3226"/>
            <w:tcBorders>
              <w:top w:val="single" w:color="D5DAE1" w:sz="4"/>
              <w:left w:val="single" w:color="D5DAE1" w:sz="4"/>
              <w:bottom w:val="single" w:color="D5DAE1" w:sz="4"/>
              <w:right w:val="single" w:color="D5DAE1" w:sz="4"/>
            </w:tcBorders>
            <w:shd w:fill="14213D" w:color="auto" w:val="clear"/>
            <w:tcMar>
              <w:top w:type="dxa" w:w="60"/>
              <w:left w:type="dxa" w:w="100"/>
              <w:bottom w:type="dxa" w:w="60"/>
              <w:right w:type="dxa" w:w="100"/>
            </w:tcMar>
          </w:tcPr>
          <w:p>
            <w:r>
              <w:rPr>
                <w:b/>
                <w:bCs/>
                <w:color w:val="FFFFFF"/>
                <w:sz w:val="20"/>
                <w:szCs w:val="20"/>
              </w:rPr>
              <w:t xml:space="preserve">Speaker</w:t>
            </w:r>
          </w:p>
        </w:tc>
        <w:tc>
          <w:tcPr>
            <w:tcW w:type="dxa" w:w="1600"/>
            <w:tcBorders>
              <w:top w:val="single" w:color="D5DAE1" w:sz="4"/>
              <w:left w:val="single" w:color="D5DAE1" w:sz="4"/>
              <w:bottom w:val="single" w:color="D5DAE1" w:sz="4"/>
              <w:right w:val="single" w:color="D5DAE1" w:sz="4"/>
            </w:tcBorders>
            <w:shd w:fill="14213D" w:color="auto" w:val="clear"/>
            <w:tcMar>
              <w:top w:type="dxa" w:w="60"/>
              <w:left w:type="dxa" w:w="100"/>
              <w:bottom w:type="dxa" w:w="60"/>
              <w:right w:type="dxa" w:w="100"/>
            </w:tcMar>
          </w:tcPr>
          <w:p>
            <w:r>
              <w:rPr>
                <w:b/>
                <w:bCs/>
                <w:color w:val="FFFFFF"/>
                <w:sz w:val="20"/>
                <w:szCs w:val="20"/>
              </w:rPr>
              <w:t xml:space="preserve">Time</w:t>
            </w:r>
          </w:p>
        </w:tc>
      </w:tr>
      <w:tr>
        <w:trPr>
          <w:tblHeader w:val="false"/>
        </w:trPr>
        <w:tc>
          <w:tcPr>
            <w:tcW w:type="dxa" w:w="42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1–3 Comments, problem, design</w:t>
            </w:r>
          </w:p>
        </w:tc>
        <w:tc>
          <w:tcPr>
            <w:tcW w:type="dxa" w:w="3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[Lead]</w:t>
            </w:r>
          </w:p>
        </w:tc>
        <w:tc>
          <w:tcPr>
            <w:tcW w:type="dxa" w:w="16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1:30</w:t>
            </w:r>
          </w:p>
        </w:tc>
      </w:tr>
      <w:tr>
        <w:trPr>
          <w:tblHeader w:val="false"/>
        </w:trPr>
        <w:tc>
          <w:tcPr>
            <w:tcW w:type="dxa" w:w="42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Video (button on slide 2)</w:t>
            </w:r>
          </w:p>
        </w:tc>
        <w:tc>
          <w:tcPr>
            <w:tcW w:type="dxa" w:w="3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Played; nobody talks</w:t>
            </w:r>
          </w:p>
        </w:tc>
        <w:tc>
          <w:tcPr>
            <w:tcW w:type="dxa" w:w="16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2:00</w:t>
            </w:r>
          </w:p>
        </w:tc>
      </w:tr>
      <w:tr>
        <w:trPr>
          <w:tblHeader w:val="false"/>
        </w:trPr>
        <w:tc>
          <w:tcPr>
            <w:tcW w:type="dxa" w:w="42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4–6 Agent 1</w:t>
            </w:r>
          </w:p>
        </w:tc>
        <w:tc>
          <w:tcPr>
            <w:tcW w:type="dxa" w:w="3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J.K.B. Ekanayake</w:t>
            </w:r>
          </w:p>
        </w:tc>
        <w:tc>
          <w:tcPr>
            <w:tcW w:type="dxa" w:w="16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2:00</w:t>
            </w:r>
          </w:p>
        </w:tc>
      </w:tr>
      <w:tr>
        <w:trPr>
          <w:tblHeader w:val="false"/>
        </w:trPr>
        <w:tc>
          <w:tcPr>
            <w:tcW w:type="dxa" w:w="42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7–9 Agent 2</w:t>
            </w:r>
          </w:p>
        </w:tc>
        <w:tc>
          <w:tcPr>
            <w:tcW w:type="dxa" w:w="3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W.A.T. Wathsala</w:t>
            </w:r>
          </w:p>
        </w:tc>
        <w:tc>
          <w:tcPr>
            <w:tcW w:type="dxa" w:w="16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2:00</w:t>
            </w:r>
          </w:p>
        </w:tc>
      </w:tr>
      <w:tr>
        <w:trPr>
          <w:tblHeader w:val="false"/>
        </w:trPr>
        <w:tc>
          <w:tcPr>
            <w:tcW w:type="dxa" w:w="42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10–12 Agent 3</w:t>
            </w:r>
          </w:p>
        </w:tc>
        <w:tc>
          <w:tcPr>
            <w:tcW w:type="dxa" w:w="3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K.G.Y.V. Thathsarani</w:t>
            </w:r>
          </w:p>
        </w:tc>
        <w:tc>
          <w:tcPr>
            <w:tcW w:type="dxa" w:w="16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2:00</w:t>
            </w:r>
          </w:p>
        </w:tc>
      </w:tr>
      <w:tr>
        <w:trPr>
          <w:tblHeader w:val="false"/>
        </w:trPr>
        <w:tc>
          <w:tcPr>
            <w:tcW w:type="dxa" w:w="42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13–15 Agent 4</w:t>
            </w:r>
          </w:p>
        </w:tc>
        <w:tc>
          <w:tcPr>
            <w:tcW w:type="dxa" w:w="3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K.M.I.N. Karunanayake</w:t>
            </w:r>
          </w:p>
        </w:tc>
        <w:tc>
          <w:tcPr>
            <w:tcW w:type="dxa" w:w="16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2:00</w:t>
            </w:r>
          </w:p>
        </w:tc>
      </w:tr>
      <w:tr>
        <w:trPr>
          <w:tblHeader w:val="false"/>
        </w:trPr>
        <w:tc>
          <w:tcPr>
            <w:tcW w:type="dxa" w:w="42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16 Commercialization</w:t>
            </w:r>
          </w:p>
        </w:tc>
        <w:tc>
          <w:tcPr>
            <w:tcW w:type="dxa" w:w="3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[Lead]</w:t>
            </w:r>
          </w:p>
        </w:tc>
        <w:tc>
          <w:tcPr>
            <w:tcW w:type="dxa" w:w="16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0:40</w:t>
            </w:r>
          </w:p>
        </w:tc>
      </w:tr>
      <w:tr>
        <w:trPr>
          <w:tblHeader w:val="false"/>
        </w:trPr>
        <w:tc>
          <w:tcPr>
            <w:tcW w:type="dxa" w:w="42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Total</w:t>
            </w:r>
          </w:p>
        </w:tc>
        <w:tc>
          <w:tcPr>
            <w:tcW w:type="dxa" w:w="3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
            </w:r>
          </w:p>
        </w:tc>
        <w:tc>
          <w:tcPr>
            <w:tcW w:type="dxa" w:w="16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about 12:10</w:t>
            </w:r>
          </w:p>
        </w:tc>
      </w:tr>
    </w:tbl>
    <w:p>
      <w:pPr>
        <w:spacing w:after="120"/>
      </w:pPr>
      <w:r>
        <w:t xml:space="preserve"/>
      </w:r>
    </w:p>
    <w:p>
      <w:pPr>
        <w:pStyle w:val="ListParagraph"/>
        <w:numPr>
          <w:ilvl w:val="0"/>
          <w:numId w:val="2"/>
        </w:numPr>
        <w:spacing w:after="60"/>
      </w:pPr>
      <w:r>
        <w:t xml:space="preserve">The template plans 12 minutes (2 video, 2 introduction, 8 individual). The schedule notice says 10 minutes for the presentation; confirm with your supervisor. If it is 10, play the video at the start of the demonstration instead.</w:t>
      </w:r>
    </w:p>
    <w:p>
      <w:pPr>
        <w:pStyle w:val="ListParagraph"/>
        <w:numPr>
          <w:ilvl w:val="0"/>
          <w:numId w:val="2"/>
        </w:numPr>
        <w:spacing w:after="60"/>
      </w:pPr>
      <w:r>
        <w:t xml:space="preserve">Each member’s part must be exactly 2 minutes. Time it out loud and cut words until it fits.</w:t>
      </w:r>
    </w:p>
    <w:p>
      <w:pPr>
        <w:pStyle w:val="ListParagraph"/>
        <w:numPr>
          <w:ilvl w:val="0"/>
          <w:numId w:val="2"/>
        </w:numPr>
        <w:spacing w:after="60"/>
      </w:pPr>
      <w:r>
        <w:t xml:space="preserve">Hand over by name. Where the script says [fill], use your real feedback only; never invent it.</w:t>
      </w:r>
    </w:p>
    <w:p>
      <w:pPr>
        <w:pStyle w:val="Heading1"/>
        <w:spacing w:after="160" w:before="360"/>
      </w:pPr>
      <w:r>
        <w:t xml:space="preserve">Script</w:t>
      </w:r>
    </w:p>
    <w:p>
      <w:pPr>
        <w:pStyle w:val="Heading2"/>
        <w:spacing w:after="120" w:before="240"/>
      </w:pPr>
      <w:r>
        <w:t xml:space="preserve">Slides 1–3: Team introduction  [Lead, 1:30 + 2:00 video]</w:t>
      </w:r>
    </w:p>
    <w:p>
      <w:pPr>
        <w:pStyle w:val="Heading3"/>
        <w:spacing w:after="80" w:before="200"/>
      </w:pPr>
      <w:r>
        <w:t xml:space="preserve">Slide 1 · Comments for the proposal and how we addressed them  [0:35]</w:t>
      </w:r>
    </w:p>
    <w:p>
      <w:pPr>
        <w:pBdr>
          <w:left w:val="single" w:color="C9D2E0" w:sz="12" w:space="8"/>
        </w:pBdr>
        <w:spacing w:after="120"/>
        <w:ind w:left="360"/>
      </w:pPr>
      <w:r>
        <w:rPr>
          <w:sz w:val="24"/>
          <w:szCs w:val="24"/>
        </w:rPr>
        <w:t xml:space="preserve">Good morning. We are group J26-DS-336: Distributed Multi-Agent SLM Framework for Privacy-Preserving Enterprise Data Intelligence. I’m [name], with Janiru Ekanayake, Tharushi Wathsala, Yuwani Thathsarani and Inushki Karunanayake. The panel gave us four comments at the proposal.</w:t>
      </w:r>
    </w:p>
    <w:p>
      <w:pPr>
        <w:spacing w:after="60" w:before="120"/>
      </w:pPr>
      <w:r>
        <w:rPr>
          <w:b/>
          <w:bCs/>
          <w:color w:val="A65A16"/>
        </w:rPr>
        <w:t xml:space="preserve">Row 1 · No proper component breakdown</w:t>
      </w:r>
    </w:p>
    <w:p>
      <w:pPr>
        <w:pBdr>
          <w:left w:val="single" w:color="C9D2E0" w:sz="12" w:space="8"/>
        </w:pBdr>
        <w:spacing w:after="120"/>
        <w:ind w:left="360"/>
      </w:pPr>
      <w:r>
        <w:rPr>
          <w:sz w:val="24"/>
          <w:szCs w:val="24"/>
        </w:rPr>
        <w:t xml:space="preserve">We now have four agents with one owner each. Every agent has a fixed input and output, and the app shows each agent’s step separately.</w:t>
      </w:r>
    </w:p>
    <w:p>
      <w:pPr>
        <w:spacing w:after="60" w:before="120"/>
      </w:pPr>
      <w:r>
        <w:rPr>
          <w:b/>
          <w:bCs/>
          <w:color w:val="A65A16"/>
        </w:rPr>
        <w:t xml:space="preserve">Row 2 · Novelty not explained: why a small model over a large one?</w:t>
      </w:r>
    </w:p>
    <w:p>
      <w:pPr>
        <w:pBdr>
          <w:left w:val="single" w:color="C9D2E0" w:sz="12" w:space="8"/>
        </w:pBdr>
        <w:spacing w:after="120"/>
        <w:ind w:left="360"/>
      </w:pPr>
      <w:r>
        <w:rPr>
          <w:sz w:val="24"/>
          <w:szCs w:val="24"/>
        </w:rPr>
        <w:t xml:space="preserve">Companies with sensitive data can’t send it to cloud AI and have only one GPU, so only a small model can be deployed. We measured where small models fail, and each agent fixes one of those failures.</w:t>
      </w:r>
    </w:p>
    <w:p>
      <w:pPr>
        <w:spacing w:after="60" w:before="120"/>
      </w:pPr>
      <w:r>
        <w:rPr>
          <w:b/>
          <w:bCs/>
          <w:color w:val="A65A16"/>
        </w:rPr>
        <w:t xml:space="preserve">Row 3 · Need to think about practical usage</w:t>
      </w:r>
    </w:p>
    <w:p>
      <w:pPr>
        <w:pBdr>
          <w:left w:val="single" w:color="C9D2E0" w:sz="12" w:space="8"/>
        </w:pBdr>
        <w:spacing w:after="120"/>
        <w:ind w:left="360"/>
      </w:pPr>
      <w:r>
        <w:rPr>
          <w:sz w:val="24"/>
          <w:szCs w:val="24"/>
        </w:rPr>
        <w:t xml:space="preserve">A staff member types a question in a chat page and gets the answer, the SQL and every step from their own database, and can save it to a dashboard.</w:t>
      </w:r>
    </w:p>
    <w:p>
      <w:pPr>
        <w:spacing w:after="60" w:before="120"/>
      </w:pPr>
      <w:r>
        <w:rPr>
          <w:b/>
          <w:bCs/>
          <w:color w:val="A65A16"/>
        </w:rPr>
        <w:t xml:space="preserve">Row 4 · Implement a standalone application (Ekanayake)</w:t>
      </w:r>
    </w:p>
    <w:p>
      <w:pPr>
        <w:pBdr>
          <w:left w:val="single" w:color="C9D2E0" w:sz="12" w:space="8"/>
        </w:pBdr>
        <w:spacing w:after="120"/>
        <w:ind w:left="360"/>
      </w:pPr>
      <w:r>
        <w:rPr>
          <w:sz w:val="24"/>
          <w:szCs w:val="24"/>
        </w:rPr>
        <w:t xml:space="preserve">Agent 1 now runs on its own as a web page, an API and a command-line tool.</w:t>
      </w:r>
    </w:p>
    <w:p>
      <w:pPr>
        <w:pStyle w:val="Heading3"/>
        <w:spacing w:after="80" w:before="200"/>
      </w:pPr>
      <w:r>
        <w:t xml:space="preserve">Slide 2 · Problem, who it affects, design of the solution, and video  [0:40, then video]</w:t>
      </w:r>
    </w:p>
    <w:p>
      <w:pPr>
        <w:spacing w:after="60" w:before="120"/>
      </w:pPr>
      <w:r>
        <w:rPr>
          <w:b/>
          <w:bCs/>
          <w:color w:val="A65A16"/>
        </w:rPr>
        <w:t xml:space="preserve">Top row · the three numbers</w:t>
      </w:r>
    </w:p>
    <w:p>
      <w:pPr>
        <w:pBdr>
          <w:left w:val="single" w:color="C9D2E0" w:sz="12" w:space="8"/>
        </w:pBdr>
        <w:spacing w:after="120"/>
        <w:ind w:left="360"/>
      </w:pPr>
      <w:r>
        <w:rPr>
          <w:sz w:val="24"/>
          <w:szCs w:val="24"/>
        </w:rPr>
        <w:t xml:space="preserve">The problem: 27 percent of organisations have banned generative AI over privacy, and 48 percent admit putting company data into it anyway. A local small model avoids this, but a full database confuses it: 35 percent correct with three tables shown, 71 percent with only the right one.</w:t>
      </w:r>
    </w:p>
    <w:p>
      <w:pPr>
        <w:spacing w:after="60" w:before="120"/>
      </w:pPr>
      <w:r>
        <w:rPr>
          <w:b/>
          <w:bCs/>
          <w:color w:val="A65A16"/>
        </w:rPr>
        <w:t xml:space="preserve">Box · Who has this problem</w:t>
      </w:r>
    </w:p>
    <w:p>
      <w:pPr>
        <w:pBdr>
          <w:left w:val="single" w:color="C9D2E0" w:sz="12" w:space="8"/>
        </w:pBdr>
        <w:spacing w:after="120"/>
        <w:ind w:left="360"/>
      </w:pPr>
      <w:r>
        <w:rPr>
          <w:sz w:val="24"/>
          <w:szCs w:val="24"/>
        </w:rPr>
        <w:t xml:space="preserve">It affects mid-size companies with sensitive data and no data team, like finance companies, microfinance companies and smaller insurers, and their staff who can’t write SQL. In Sri Lanka, the Personal Data Protection Act makes sending customer data out a legal risk.</w:t>
      </w:r>
    </w:p>
    <w:p>
      <w:pPr>
        <w:spacing w:after="60" w:before="120"/>
      </w:pPr>
      <w:r>
        <w:rPr>
          <w:b/>
          <w:bCs/>
          <w:color w:val="A65A16"/>
        </w:rPr>
        <w:t xml:space="preserve">Box · Design of the overall solution</w:t>
      </w:r>
    </w:p>
    <w:p>
      <w:pPr>
        <w:pBdr>
          <w:left w:val="single" w:color="C9D2E0" w:sz="12" w:space="8"/>
        </w:pBdr>
        <w:spacing w:after="120"/>
        <w:ind w:left="360"/>
      </w:pPr>
      <w:r>
        <w:rPr>
          <w:sz w:val="24"/>
          <w:szCs w:val="24"/>
        </w:rPr>
        <w:t xml:space="preserve">Our design uses four small agents, each fixing one measured weakness. It runs on one GPU, nothing leaves the company, and every answer shows its SQL and each step.</w:t>
      </w:r>
    </w:p>
    <w:p>
      <w:pPr>
        <w:spacing w:after="60" w:before="120"/>
      </w:pPr>
      <w:r>
        <w:rPr>
          <w:b/>
          <w:bCs/>
          <w:color w:val="A65A16"/>
        </w:rPr>
        <w:t xml:space="preserve">Box · 1–2 minute video</w:t>
      </w:r>
    </w:p>
    <w:p>
      <w:pPr>
        <w:pBdr>
          <w:left w:val="single" w:color="C9D2E0" w:sz="12" w:space="8"/>
        </w:pBdr>
        <w:spacing w:after="120"/>
        <w:ind w:left="360"/>
      </w:pPr>
      <w:r>
        <w:rPr>
          <w:sz w:val="24"/>
          <w:szCs w:val="24"/>
        </w:rPr>
        <w:t xml:space="preserve">Here is our two-minute video.</w:t>
      </w:r>
    </w:p>
    <w:p>
      <w:pPr>
        <w:spacing w:after="120"/>
        <w:ind w:left="360"/>
      </w:pPr>
      <w:r>
        <w:rPr>
          <w:i/>
          <w:iCs/>
          <w:color w:val="4B5563"/>
        </w:rPr>
        <w:t xml:space="preserve">[Click “Watch on YouTube”, play it full screen, don’t talk over it, then come back to the slides.]</w:t>
      </w:r>
    </w:p>
    <w:p>
      <w:pPr>
        <w:pStyle w:val="Heading3"/>
        <w:spacing w:after="80" w:before="200"/>
      </w:pPr>
      <w:r>
        <w:t xml:space="preserve">Slide 3 · Design of the overall solution: how one question flows  [0:15]</w:t>
      </w:r>
    </w:p>
    <w:p>
      <w:pPr>
        <w:pBdr>
          <w:left w:val="single" w:color="C9D2E0" w:sz="12" w:space="8"/>
        </w:pBdr>
        <w:spacing w:after="120"/>
        <w:ind w:left="360"/>
      </w:pPr>
      <w:r>
        <w:rPr>
          <w:sz w:val="24"/>
          <w:szCs w:val="24"/>
        </w:rPr>
        <w:t xml:space="preserve">Follow the numbers. The question goes to the harness. Agent 1 prunes the schema and labels it. Agent 2’s gate passes or declines it. Agent 3 writes the SQL. Agent 4 runs it read-only, and on an error sends a hint back, up to three times. The answer, SQL and trace come back. Janiru.</w:t>
      </w:r>
    </w:p>
    <w:p>
      <w:pPr>
        <w:pStyle w:val="Heading2"/>
        <w:spacing w:after="120" w:before="240"/>
      </w:pPr>
      <w:r>
        <w:t xml:space="preserve">Slides 4–6: Agent 1, Ekanayake  [2:00]</w:t>
      </w:r>
    </w:p>
    <w:p>
      <w:pPr>
        <w:pStyle w:val="Heading3"/>
        <w:spacing w:after="80" w:before="200"/>
      </w:pPr>
      <w:r>
        <w:t xml:space="preserve">Slide 4 · Opening  [0:10]</w:t>
      </w:r>
    </w:p>
    <w:p>
      <w:pPr>
        <w:pBdr>
          <w:left w:val="single" w:color="C9D2E0" w:sz="12" w:space="8"/>
        </w:pBdr>
        <w:spacing w:after="120"/>
        <w:ind w:left="360"/>
      </w:pPr>
      <w:r>
        <w:rPr>
          <w:sz w:val="24"/>
          <w:szCs w:val="24"/>
        </w:rPr>
        <w:t xml:space="preserve">Thank you. I’m J.K.B. Ekanayake, IT23199262, Data Science. My component is Complexity-Adaptive Column-Level Schema Pruning for Small Language Models.</w:t>
      </w:r>
    </w:p>
    <w:p>
      <w:pPr>
        <w:pStyle w:val="Heading3"/>
        <w:spacing w:after="80" w:before="200"/>
      </w:pPr>
      <w:r>
        <w:t xml:space="preserve">Slide 5 · Individual component 1 of 2  [0:55]</w:t>
      </w:r>
    </w:p>
    <w:p>
      <w:pPr>
        <w:spacing w:after="60" w:before="120"/>
      </w:pPr>
      <w:r>
        <w:rPr>
          <w:b/>
          <w:bCs/>
          <w:color w:val="A65A16"/>
        </w:rPr>
        <w:t xml:space="preserve">Left box · How the solution addresses the sub-problem (prototype)</w:t>
      </w:r>
    </w:p>
    <w:p>
      <w:pPr>
        <w:pBdr>
          <w:left w:val="single" w:color="C9D2E0" w:sz="12" w:space="8"/>
        </w:pBdr>
        <w:spacing w:after="120"/>
        <w:ind w:left="360"/>
      </w:pPr>
      <w:r>
        <w:rPr>
          <w:sz w:val="24"/>
          <w:szCs w:val="24"/>
        </w:rPr>
        <w:t xml:space="preserve">My sub-problem: a small model gets confused when it sees the whole database, 35 percent correct with three tables but 71 percent with only the right one. My prototype fixes this in five steps. Classify the question as simple, single-join, multi-join or totals. Find the top three starting tables. Add the tables needed to join them. Keep only the needed columns, with value hints, so “Canada” points to Customer.Country. Size the schema to the question and pass it, with the label, to Agent 3.</w:t>
      </w:r>
    </w:p>
    <w:p>
      <w:pPr>
        <w:spacing w:after="60" w:before="120"/>
      </w:pPr>
      <w:r>
        <w:rPr>
          <w:b/>
          <w:bCs/>
          <w:color w:val="A65A16"/>
        </w:rPr>
        <w:t xml:space="preserve">Right box · User requirements addressed</w:t>
      </w:r>
    </w:p>
    <w:p>
      <w:pPr>
        <w:pBdr>
          <w:left w:val="single" w:color="C9D2E0" w:sz="12" w:space="8"/>
        </w:pBdr>
        <w:spacing w:after="120"/>
        <w:ind w:left="360"/>
      </w:pPr>
      <w:r>
        <w:rPr>
          <w:sz w:val="24"/>
          <w:szCs w:val="24"/>
        </w:rPr>
        <w:t xml:space="preserve">It reads any connected database automatically, labels each question’s complexity for Agent 3, answers in 0.28 seconds against a 0.5-second target, handles twenty-plus tables and missing foreign keys, explains why each column was kept, and runs standalone.</w:t>
      </w:r>
    </w:p>
    <w:p>
      <w:pPr>
        <w:pStyle w:val="Heading3"/>
        <w:spacing w:after="80" w:before="200"/>
      </w:pPr>
      <w:r>
        <w:t xml:space="preserve">Slide 6 · Individual component 2 of 2  [0:55]</w:t>
      </w:r>
    </w:p>
    <w:p>
      <w:pPr>
        <w:spacing w:after="60" w:before="120"/>
      </w:pPr>
      <w:r>
        <w:rPr>
          <w:b/>
          <w:bCs/>
          <w:color w:val="A65A16"/>
        </w:rPr>
        <w:t xml:space="preserve">Left box · Design excellence / contribution</w:t>
      </w:r>
    </w:p>
    <w:p>
      <w:pPr>
        <w:pBdr>
          <w:left w:val="single" w:color="C9D2E0" w:sz="12" w:space="8"/>
        </w:pBdr>
        <w:spacing w:after="120"/>
        <w:ind w:left="360"/>
      </w:pPr>
      <w:r>
        <w:rPr>
          <w:sz w:val="24"/>
          <w:szCs w:val="24"/>
        </w:rPr>
        <w:t xml:space="preserve">Reading the table from the top: 95 to 99 percent of needed columns are still kept, with prompts 16 to 24 percent smaller. The three starred rows are real gains, very unlikely to be chance: question type labelled correctly, 59 to 68 percent; correct SQL on coded columns with value hints, 12 to 56 percent; and correct SQL when the schema fits the question, 44 to 52 percent. As the note says, pruning alone keeps accuracy the same with smaller prompts, and 66 automated tests pass.</w:t>
      </w:r>
    </w:p>
    <w:p>
      <w:pPr>
        <w:spacing w:after="60" w:before="120"/>
      </w:pPr>
      <w:r>
        <w:rPr>
          <w:b/>
          <w:bCs/>
          <w:color w:val="A65A16"/>
        </w:rPr>
        <w:t xml:space="preserve">Right box · User feedback on prototype</w:t>
      </w:r>
    </w:p>
    <w:p>
      <w:pPr>
        <w:pBdr>
          <w:left w:val="single" w:color="C9D2E0" w:sz="12" w:space="8"/>
        </w:pBdr>
        <w:spacing w:after="120"/>
        <w:ind w:left="360"/>
      </w:pPr>
      <w:r>
        <w:rPr>
          <w:sz w:val="24"/>
          <w:szCs w:val="24"/>
        </w:rPr>
        <w:t xml:space="preserve">[fill: who tried it, which task, what they struggled with, what you changed]. Over to Tharushi for Agent 2.</w:t>
      </w:r>
    </w:p>
    <w:p>
      <w:pPr>
        <w:pStyle w:val="Heading2"/>
        <w:spacing w:after="120" w:before="240"/>
      </w:pPr>
      <w:r>
        <w:t xml:space="preserve">Slides 7–9: Agent 2, Wathsala  [2:00]</w:t>
      </w:r>
    </w:p>
    <w:p>
      <w:pPr>
        <w:pStyle w:val="Heading3"/>
        <w:spacing w:after="80" w:before="200"/>
      </w:pPr>
      <w:r>
        <w:t xml:space="preserve">Slide 7 · Opening  [0:10]</w:t>
      </w:r>
    </w:p>
    <w:p>
      <w:pPr>
        <w:pBdr>
          <w:left w:val="single" w:color="C9D2E0" w:sz="12" w:space="8"/>
        </w:pBdr>
        <w:spacing w:after="120"/>
        <w:ind w:left="360"/>
      </w:pPr>
      <w:r>
        <w:rPr>
          <w:sz w:val="24"/>
          <w:szCs w:val="24"/>
        </w:rPr>
        <w:t xml:space="preserve">Thank you. I’m W.A.T. Wathsala, IT23282704, Data Science. My component is a Knowledge-Distilled Small Foundation Model and Question Gate.</w:t>
      </w:r>
    </w:p>
    <w:p>
      <w:pPr>
        <w:pStyle w:val="Heading3"/>
        <w:spacing w:after="80" w:before="200"/>
      </w:pPr>
      <w:r>
        <w:t xml:space="preserve">Slide 8 · Individual component 1 of 2  [0:55]</w:t>
      </w:r>
    </w:p>
    <w:p>
      <w:pPr>
        <w:spacing w:after="60" w:before="120"/>
      </w:pPr>
      <w:r>
        <w:rPr>
          <w:b/>
          <w:bCs/>
          <w:color w:val="A65A16"/>
        </w:rPr>
        <w:t xml:space="preserve">Left box · How the solution addresses the sub-problem (prototype)</w:t>
      </w:r>
    </w:p>
    <w:p>
      <w:pPr>
        <w:pBdr>
          <w:left w:val="single" w:color="C9D2E0" w:sz="12" w:space="8"/>
        </w:pBdr>
        <w:spacing w:after="120"/>
        <w:ind w:left="360"/>
      </w:pPr>
      <w:r>
        <w:rPr>
          <w:sz w:val="24"/>
          <w:szCs w:val="24"/>
        </w:rPr>
        <w:t xml:space="preserve">My sub-problem: small models are weak at harder judgements. Can a large teacher make a same-size small model better? Teacher: a 7-billion-parameter Qwen, fine-tuned on the tasks first. Training data: 4,000 database-or-general questions and 436 attack-or-safe prompts. Student: a 1.5B Qwen that learns from the teacher. Control: the same 1.5B model trained without the teacher. Live: my student is the app’s question gate, working with Agent 1’s word check.</w:t>
      </w:r>
    </w:p>
    <w:p>
      <w:pPr>
        <w:spacing w:after="60" w:before="120"/>
      </w:pPr>
      <w:r>
        <w:rPr>
          <w:b/>
          <w:bCs/>
          <w:color w:val="A65A16"/>
        </w:rPr>
        <w:t xml:space="preserve">Right box · User requirements addressed</w:t>
      </w:r>
    </w:p>
    <w:p>
      <w:pPr>
        <w:pBdr>
          <w:left w:val="single" w:color="C9D2E0" w:sz="12" w:space="8"/>
        </w:pBdr>
        <w:spacing w:after="120"/>
        <w:ind w:left="360"/>
      </w:pPr>
      <w:r>
        <w:rPr>
          <w:sz w:val="24"/>
          <w:szCs w:val="24"/>
        </w:rPr>
        <w:t xml:space="preserve">Done: teacher-generated training data, a same-size model for a fair comparison, and a model the app loads. The gate declines off-topic questions before any SQL: on 224 real questions it wrongly declined none, in about 0.2 seconds each. Still planned: the attack check in the app, and the distilled SQL base for Agent 3.</w:t>
      </w:r>
    </w:p>
    <w:p>
      <w:pPr>
        <w:pStyle w:val="Heading3"/>
        <w:spacing w:after="80" w:before="200"/>
      </w:pPr>
      <w:r>
        <w:t xml:space="preserve">Slide 9 · Individual component 2 of 2  [0:55]</w:t>
      </w:r>
    </w:p>
    <w:p>
      <w:pPr>
        <w:spacing w:after="60" w:before="120"/>
      </w:pPr>
      <w:r>
        <w:rPr>
          <w:b/>
          <w:bCs/>
          <w:color w:val="A65A16"/>
        </w:rPr>
        <w:t xml:space="preserve">Left box · Design excellence / contribution</w:t>
      </w:r>
    </w:p>
    <w:p>
      <w:pPr>
        <w:pBdr>
          <w:left w:val="single" w:color="C9D2E0" w:sz="12" w:space="8"/>
        </w:pBdr>
        <w:spacing w:after="120"/>
        <w:ind w:left="360"/>
      </w:pPr>
      <w:r>
        <w:rPr>
          <w:sz w:val="24"/>
          <w:szCs w:val="24"/>
        </w:rPr>
        <w:t xml:space="preserve">The table compares the model without and with the teacher. First row, is it a database question: 98.8 versus 99.4 percent, no real gain, because both are near 100. Second row, is it an attack prompt: 83.6 versus 94.8 percent, 11 points better with the teacher, and p equals 0.004, so very unlikely to be chance. Distillation helps where the task is hard.</w:t>
      </w:r>
    </w:p>
    <w:p>
      <w:pPr>
        <w:spacing w:after="60" w:before="120"/>
      </w:pPr>
      <w:r>
        <w:rPr>
          <w:b/>
          <w:bCs/>
          <w:color w:val="A65A16"/>
        </w:rPr>
        <w:t xml:space="preserve">Right box · User feedback on prototype</w:t>
      </w:r>
    </w:p>
    <w:p>
      <w:pPr>
        <w:pBdr>
          <w:left w:val="single" w:color="C9D2E0" w:sz="12" w:space="8"/>
        </w:pBdr>
        <w:spacing w:after="120"/>
        <w:ind w:left="360"/>
      </w:pPr>
      <w:r>
        <w:rPr>
          <w:sz w:val="24"/>
          <w:szCs w:val="24"/>
        </w:rPr>
        <w:t xml:space="preserve">[fill]. Over to Yuwani for Agent 3.</w:t>
      </w:r>
    </w:p>
    <w:p>
      <w:pPr>
        <w:pStyle w:val="Heading2"/>
        <w:spacing w:after="120" w:before="240"/>
      </w:pPr>
      <w:r>
        <w:t xml:space="preserve">Slides 10–12: Agent 3, Thathsarani  [2:00]</w:t>
      </w:r>
    </w:p>
    <w:p>
      <w:pPr>
        <w:pStyle w:val="Heading3"/>
        <w:spacing w:after="80" w:before="200"/>
      </w:pPr>
      <w:r>
        <w:t xml:space="preserve">Slide 10 · Opening  [0:10]</w:t>
      </w:r>
    </w:p>
    <w:p>
      <w:pPr>
        <w:pBdr>
          <w:left w:val="single" w:color="C9D2E0" w:sz="12" w:space="8"/>
        </w:pBdr>
        <w:spacing w:after="120"/>
        <w:ind w:left="360"/>
      </w:pPr>
      <w:r>
        <w:rPr>
          <w:sz w:val="24"/>
          <w:szCs w:val="24"/>
        </w:rPr>
        <w:t xml:space="preserve">Thank you. I’m K.G.Y.V. Thathsarani, IT23404250, Data Science. My component is Complexity-Routed HydraLoRA versus Standard LoRA for SQL Generation.</w:t>
      </w:r>
    </w:p>
    <w:p>
      <w:pPr>
        <w:pStyle w:val="Heading3"/>
        <w:spacing w:after="80" w:before="200"/>
      </w:pPr>
      <w:r>
        <w:t xml:space="preserve">Slide 11 · Individual component 1 of 2  [0:55]</w:t>
      </w:r>
    </w:p>
    <w:p>
      <w:pPr>
        <w:spacing w:after="60" w:before="120"/>
      </w:pPr>
      <w:r>
        <w:rPr>
          <w:b/>
          <w:bCs/>
          <w:color w:val="A65A16"/>
        </w:rPr>
        <w:t xml:space="preserve">Left box · How the solution addresses the sub-problem (prototype)</w:t>
      </w:r>
    </w:p>
    <w:p>
      <w:pPr>
        <w:pBdr>
          <w:left w:val="single" w:color="C9D2E0" w:sz="12" w:space="8"/>
        </w:pBdr>
        <w:spacing w:after="120"/>
        <w:ind w:left="360"/>
      </w:pPr>
      <w:r>
        <w:rPr>
          <w:sz w:val="24"/>
          <w:szCs w:val="24"/>
        </w:rPr>
        <w:t xml:space="preserve">My sub-problem: one shared adapter must learn simple lookups and multi-table joins alike. Base: Qwen 1.5B, replaced by Agent 2’s distilled base when it exists. Data: Spider training questions labelled by complexity. Standard LoRA: one shared adapter, the control. HydraLoRA: one shared part plus a separate head for each complexity type. Live: Agent 1’s label chooses the head, and on a retry I use Agent 4’s error hint.</w:t>
      </w:r>
    </w:p>
    <w:p>
      <w:pPr>
        <w:spacing w:after="60" w:before="120"/>
      </w:pPr>
      <w:r>
        <w:rPr>
          <w:b/>
          <w:bCs/>
          <w:color w:val="A65A16"/>
        </w:rPr>
        <w:t xml:space="preserve">Right box · User requirements addressed</w:t>
      </w:r>
    </w:p>
    <w:p>
      <w:pPr>
        <w:pBdr>
          <w:left w:val="single" w:color="C9D2E0" w:sz="12" w:space="8"/>
        </w:pBdr>
        <w:spacing w:after="120"/>
        <w:ind w:left="360"/>
      </w:pPr>
      <w:r>
        <w:rPr>
          <w:sz w:val="24"/>
          <w:szCs w:val="24"/>
        </w:rPr>
        <w:t xml:space="preserve">Done: LoRA and HydraLoRA on the same base, data and budget; routing by the shared classifier; accuracy reported per complexity with statistics; and the winner, LoRA, and runner-up, HydraLoRA, packaged for Agent 4. Still planned: head selection inside the live app. Today a stand-in model writes the SQL there.</w:t>
      </w:r>
    </w:p>
    <w:p>
      <w:pPr>
        <w:pStyle w:val="Heading3"/>
        <w:spacing w:after="80" w:before="200"/>
      </w:pPr>
      <w:r>
        <w:t xml:space="preserve">Slide 12 · Individual component 2 of 2  [0:55]</w:t>
      </w:r>
    </w:p>
    <w:p>
      <w:pPr>
        <w:spacing w:after="60" w:before="120"/>
      </w:pPr>
      <w:r>
        <w:rPr>
          <w:b/>
          <w:bCs/>
          <w:color w:val="A65A16"/>
        </w:rPr>
        <w:t xml:space="preserve">Left box · Design excellence / contribution</w:t>
      </w:r>
    </w:p>
    <w:p>
      <w:pPr>
        <w:pBdr>
          <w:left w:val="single" w:color="C9D2E0" w:sz="12" w:space="8"/>
        </w:pBdr>
        <w:spacing w:after="120"/>
        <w:ind w:left="360"/>
      </w:pPr>
      <w:r>
        <w:rPr>
          <w:sz w:val="24"/>
          <w:szCs w:val="24"/>
        </w:rPr>
        <w:t xml:space="preserve">The table shows correct SQL out of 128 questions. The base model with no training: 41 percent. LoRA: 55 percent, a real gain. HydraLoRA with perfect labels: 52 percent, the same as LoRA. HydraLoRA with live labels: 39 percent. As the note says, LoRA lifts one-join questions from 29 to 68 percent, multi-join stays near 16 for all, and every 10 points of routing error costs about 3 points of accuracy.</w:t>
      </w:r>
    </w:p>
    <w:p>
      <w:pPr>
        <w:spacing w:after="60" w:before="120"/>
      </w:pPr>
      <w:r>
        <w:rPr>
          <w:b/>
          <w:bCs/>
          <w:color w:val="A65A16"/>
        </w:rPr>
        <w:t xml:space="preserve">Right box · User feedback on prototype</w:t>
      </w:r>
    </w:p>
    <w:p>
      <w:pPr>
        <w:pBdr>
          <w:left w:val="single" w:color="C9D2E0" w:sz="12" w:space="8"/>
        </w:pBdr>
        <w:spacing w:after="120"/>
        <w:ind w:left="360"/>
      </w:pPr>
      <w:r>
        <w:rPr>
          <w:sz w:val="24"/>
          <w:szCs w:val="24"/>
        </w:rPr>
        <w:t xml:space="preserve">[fill]. Over to Inushki for Agent 4.</w:t>
      </w:r>
    </w:p>
    <w:p>
      <w:pPr>
        <w:pStyle w:val="Heading2"/>
        <w:spacing w:after="120" w:before="240"/>
      </w:pPr>
      <w:r>
        <w:t xml:space="preserve">Slides 13–15: Agent 4, Karunanayake  [2:00]</w:t>
      </w:r>
    </w:p>
    <w:p>
      <w:pPr>
        <w:pStyle w:val="Heading3"/>
        <w:spacing w:after="80" w:before="200"/>
      </w:pPr>
      <w:r>
        <w:t xml:space="preserve">Slide 13 · Opening  [0:10]</w:t>
      </w:r>
    </w:p>
    <w:p>
      <w:pPr>
        <w:pBdr>
          <w:left w:val="single" w:color="C9D2E0" w:sz="12" w:space="8"/>
        </w:pBdr>
        <w:spacing w:after="120"/>
        <w:ind w:left="360"/>
      </w:pPr>
      <w:r>
        <w:rPr>
          <w:sz w:val="24"/>
          <w:szCs w:val="24"/>
        </w:rPr>
        <w:t xml:space="preserve">Thank you. I’m K.M.I.N. Karunanayake, IT23179912, Data Science. My component is SQL-Sensitive Mixed-Precision Quantization and Safe Query Execution.</w:t>
      </w:r>
    </w:p>
    <w:p>
      <w:pPr>
        <w:pStyle w:val="Heading3"/>
        <w:spacing w:after="80" w:before="200"/>
      </w:pPr>
      <w:r>
        <w:t xml:space="preserve">Slide 14 · Individual component 1 of 2  [0:55]</w:t>
      </w:r>
    </w:p>
    <w:p>
      <w:pPr>
        <w:spacing w:after="60" w:before="120"/>
      </w:pPr>
      <w:r>
        <w:rPr>
          <w:b/>
          <w:bCs/>
          <w:color w:val="A65A16"/>
        </w:rPr>
        <w:t xml:space="preserve">Left box · How the solution addresses the sub-problem (prototype)</w:t>
      </w:r>
    </w:p>
    <w:p>
      <w:pPr>
        <w:pBdr>
          <w:left w:val="single" w:color="C9D2E0" w:sz="12" w:space="8"/>
        </w:pBdr>
        <w:spacing w:after="120"/>
        <w:ind w:left="360"/>
      </w:pPr>
      <w:r>
        <w:rPr>
          <w:sz w:val="24"/>
          <w:szCs w:val="24"/>
        </w:rPr>
        <w:t xml:space="preserve">My sub-problem: the model must shrink to fit a small GPU, but shrinking every layer to 4-bit breaks SQL names, from 59 to 51 percent correct. Sensitivity: I set each of the 28 layers to 4-bit on its own and measured the accuracy drop. Allocation: the six most sensitive layers stay 8-bit, the other 22 become 4-bit. Build the mixed model and compare it with full size, all 8-bit and all 4-bit. Live: a safety check, read-only execution, and an error hint back to Agent 3. This replaced my original QAT versus PTQ plan, agreed with the team.</w:t>
      </w:r>
    </w:p>
    <w:p>
      <w:pPr>
        <w:spacing w:after="60" w:before="120"/>
      </w:pPr>
      <w:r>
        <w:rPr>
          <w:b/>
          <w:bCs/>
          <w:color w:val="A65A16"/>
        </w:rPr>
        <w:t xml:space="preserve">Right box · User requirements addressed</w:t>
      </w:r>
    </w:p>
    <w:p>
      <w:pPr>
        <w:pBdr>
          <w:left w:val="single" w:color="C9D2E0" w:sz="12" w:space="8"/>
        </w:pBdr>
        <w:spacing w:after="120"/>
        <w:ind w:left="360"/>
      </w:pPr>
      <w:r>
        <w:rPr>
          <w:sz w:val="24"/>
          <w:szCs w:val="24"/>
        </w:rPr>
        <w:t xml:space="preserve">It fits a mid-range GPU, 1.29 instead of 2.97 gigabytes; accuracy, memory and speed are reported per setting; only safe SQL runs; the retry stops after three attempts; and it writes the SQL in our app today. Still planned: separate test questions and comparison controls.</w:t>
      </w:r>
    </w:p>
    <w:p>
      <w:pPr>
        <w:pStyle w:val="Heading3"/>
        <w:spacing w:after="80" w:before="200"/>
      </w:pPr>
      <w:r>
        <w:t xml:space="preserve">Slide 15 · Individual component 2 of 2  [0:55]</w:t>
      </w:r>
    </w:p>
    <w:p>
      <w:pPr>
        <w:spacing w:after="60" w:before="120"/>
      </w:pPr>
      <w:r>
        <w:rPr>
          <w:b/>
          <w:bCs/>
          <w:color w:val="A65A16"/>
        </w:rPr>
        <w:t xml:space="preserve">Left box · Design excellence / contribution</w:t>
      </w:r>
    </w:p>
    <w:p>
      <w:pPr>
        <w:pBdr>
          <w:left w:val="single" w:color="C9D2E0" w:sz="12" w:space="8"/>
        </w:pBdr>
        <w:spacing w:after="120"/>
        <w:ind w:left="360"/>
      </w:pPr>
      <w:r>
        <w:rPr>
          <w:sz w:val="24"/>
          <w:szCs w:val="24"/>
        </w:rPr>
        <w:t xml:space="preserve">The table shows correct SQL out of 100 questions and the memory used. Full size: 59 percent, 2.97 gigabytes. All 8-bit: 61 percent, 1.74. All 4-bit: 51 percent, 1.2. My mixed model: 64 percent in 1.29 gigabytes. But as the note says, that 64 is on only 25 questions, the same ones used to choose the layers, so it’s not proven better yet.</w:t>
      </w:r>
    </w:p>
    <w:p>
      <w:pPr>
        <w:spacing w:after="60" w:before="120"/>
      </w:pPr>
      <w:r>
        <w:rPr>
          <w:b/>
          <w:bCs/>
          <w:color w:val="A65A16"/>
        </w:rPr>
        <w:t xml:space="preserve">Right box · User feedback on prototype</w:t>
      </w:r>
    </w:p>
    <w:p>
      <w:pPr>
        <w:pBdr>
          <w:left w:val="single" w:color="C9D2E0" w:sz="12" w:space="8"/>
        </w:pBdr>
        <w:spacing w:after="120"/>
        <w:ind w:left="360"/>
      </w:pPr>
      <w:r>
        <w:rPr>
          <w:sz w:val="24"/>
          <w:szCs w:val="24"/>
        </w:rPr>
        <w:t xml:space="preserve">[fill]. Back to [Lead].</w:t>
      </w:r>
    </w:p>
    <w:p>
      <w:pPr>
        <w:pStyle w:val="Heading2"/>
        <w:spacing w:after="120" w:before="240"/>
      </w:pPr>
      <w:r>
        <w:t xml:space="preserve">Slide 16: Commercialization and sustainability  [Lead, 0:40]</w:t>
      </w:r>
    </w:p>
    <w:p>
      <w:pPr>
        <w:spacing w:after="60" w:before="120"/>
      </w:pPr>
      <w:r>
        <w:rPr>
          <w:b/>
          <w:bCs/>
          <w:color w:val="A65A16"/>
        </w:rPr>
        <w:t xml:space="preserve">Box · Customer persona</w:t>
      </w:r>
    </w:p>
    <w:p>
      <w:pPr>
        <w:pBdr>
          <w:left w:val="single" w:color="C9D2E0" w:sz="12" w:space="8"/>
        </w:pBdr>
        <w:spacing w:after="120"/>
        <w:ind w:left="360"/>
      </w:pPr>
      <w:r>
        <w:rPr>
          <w:sz w:val="24"/>
          <w:szCs w:val="24"/>
        </w:rPr>
        <w:t xml:space="preserve">Our customer is a mid-size company with sensitive data and no data team. The users are operations managers, credit and risk officers and compliance staff, who can’t write SQL and have no BI team to ask.</w:t>
      </w:r>
    </w:p>
    <w:p>
      <w:pPr>
        <w:spacing w:after="60" w:before="120"/>
      </w:pPr>
      <w:r>
        <w:rPr>
          <w:b/>
          <w:bCs/>
          <w:color w:val="A65A16"/>
        </w:rPr>
        <w:t xml:space="preserve">Box · Market size</w:t>
      </w:r>
    </w:p>
    <w:p>
      <w:pPr>
        <w:pBdr>
          <w:left w:val="single" w:color="C9D2E0" w:sz="12" w:space="8"/>
        </w:pBdr>
        <w:spacing w:after="120"/>
        <w:ind w:left="360"/>
      </w:pPr>
      <w:r>
        <w:rPr>
          <w:sz w:val="24"/>
          <w:szCs w:val="24"/>
        </w:rPr>
        <w:t xml:space="preserve">In Sri Lanka first: 32 licensed finance companies and 4 microfinance companies, plus the smaller of 29 insurers. Then the same segment across South Asia.</w:t>
      </w:r>
    </w:p>
    <w:p>
      <w:pPr>
        <w:spacing w:after="60" w:before="120"/>
      </w:pPr>
      <w:r>
        <w:rPr>
          <w:b/>
          <w:bCs/>
          <w:color w:val="A65A16"/>
        </w:rPr>
        <w:t xml:space="preserve">Box · What is unique in our solution</w:t>
      </w:r>
    </w:p>
    <w:p>
      <w:pPr>
        <w:pBdr>
          <w:left w:val="single" w:color="C9D2E0" w:sz="12" w:space="8"/>
        </w:pBdr>
        <w:spacing w:after="120"/>
        <w:ind w:left="360"/>
      </w:pPr>
      <w:r>
        <w:rPr>
          <w:sz w:val="24"/>
          <w:szCs w:val="24"/>
        </w:rPr>
        <w:t xml:space="preserve">It runs fully on the company’s own hardware, so no data goes to an AI vendor; one mid-range GPU replaces a data team or cloud contract; and every answer shows its SQL and steps so it can be checked.</w:t>
      </w:r>
    </w:p>
    <w:p>
      <w:pPr>
        <w:spacing w:after="60" w:before="120"/>
      </w:pPr>
      <w:r>
        <w:rPr>
          <w:b/>
          <w:bCs/>
          <w:color w:val="A65A16"/>
        </w:rPr>
        <w:t xml:space="preserve">Box · How will the cost be recovered?</w:t>
      </w:r>
    </w:p>
    <w:p>
      <w:pPr>
        <w:pBdr>
          <w:left w:val="single" w:color="C9D2E0" w:sz="12" w:space="8"/>
        </w:pBdr>
        <w:spacing w:after="120"/>
        <w:ind w:left="360"/>
      </w:pPr>
      <w:r>
        <w:rPr>
          <w:sz w:val="24"/>
          <w:szCs w:val="24"/>
        </w:rPr>
        <w:t xml:space="preserve">A licensed on-premise appliance with a yearly support contract, and a privately hosted tier for smaller firms. Because the models are open-weight, there are no per-question fees. Thank you. We’ll now show the demonstration.</w:t>
      </w:r>
    </w:p>
    <w:p>
      <w:pPr>
        <w:pStyle w:val="Heading1"/>
        <w:spacing w:after="160" w:before="360"/>
      </w:pPr>
      <w:r>
        <w:t xml:space="preserve">Demonstration (10 minutes)</w:t>
      </w:r>
    </w:p>
    <w:p>
      <w:pPr>
        <w:spacing w:after="120"/>
      </w:pPr>
      <w:r>
        <w:t xml:space="preserve">One story: a staff member asks a question no report answers, and every agent’s work is visible. Janiru drives the laptop; each owner stands and explains their own part.</w:t>
      </w:r>
    </w:p>
    <w:p>
      <w:pPr>
        <w:pStyle w:val="Heading2"/>
        <w:spacing w:after="120" w:before="240"/>
      </w:pPr>
      <w:r>
        <w:t xml:space="preserve">Before you walk in</w:t>
      </w:r>
    </w:p>
    <w:p>
      <w:pPr>
        <w:pStyle w:val="ListParagraph"/>
        <w:numPr>
          <w:ilvl w:val="0"/>
          <w:numId w:val="3"/>
        </w:numPr>
        <w:spacing w:after="80"/>
      </w:pPr>
      <w:r>
        <w:t xml:space="preserve">On the GPU laptop, open the repository folder. Make sure Wathsala’s MultiTask_Research folder is copied into it (her model files are not in Git).</w:t>
      </w:r>
    </w:p>
    <w:p>
      <w:pPr>
        <w:pStyle w:val="ListParagraph"/>
        <w:numPr>
          <w:ilvl w:val="0"/>
          <w:numId w:val="3"/>
        </w:numPr>
        <w:spacing w:after="80"/>
      </w:pPr>
      <w:r>
        <w:t xml:space="preserve">Start the app with both real models:</w:t>
      </w:r>
    </w:p>
    <w:p>
      <w:pPr>
        <w:shd w:fill="F1F3F6" w:color="auto" w:val="clear"/>
        <w:spacing w:after="120"/>
        <w:ind w:left="360"/>
      </w:pPr>
      <w:r>
        <w:rPr>
          <w:rFonts w:ascii="Consolas" w:cs="Consolas" w:eastAsia="Consolas" w:hAnsi="Consolas"/>
          <w:sz w:val="20"/>
          <w:szCs w:val="20"/>
        </w:rPr>
        <w:t xml:space="preserve">.\scripts\start_app.ps1 -Gate kd_multitask -Generator adaptive_qwen</w:t>
      </w:r>
    </w:p>
    <w:p>
      <w:pPr>
        <w:pStyle w:val="ListParagraph"/>
        <w:numPr>
          <w:ilvl w:val="0"/>
          <w:numId w:val="3"/>
        </w:numPr>
        <w:spacing w:after="80"/>
      </w:pPr>
      <w:r>
        <w:t xml:space="preserve">Wait until the terminal says both models are loaded (about 2 minutes the first time). Keep that terminal open: closing it stops the app.</w:t>
      </w:r>
    </w:p>
    <w:p>
      <w:pPr>
        <w:pStyle w:val="ListParagraph"/>
        <w:numPr>
          <w:ilvl w:val="0"/>
          <w:numId w:val="3"/>
        </w:numPr>
        <w:spacing w:after="80"/>
      </w:pPr>
      <w:r>
        <w:t xml:space="preserve">Open these browser tabs in this order: http://localhost:8765/chat (chat), http://localhost:8765/ (Pipeline Explorer), http://localhost:8765/dashboard (dashboard), the downloaded video, and the slides.</w:t>
      </w:r>
    </w:p>
    <w:p>
      <w:pPr>
        <w:pStyle w:val="ListParagraph"/>
        <w:numPr>
          <w:ilvl w:val="0"/>
          <w:numId w:val="3"/>
        </w:numPr>
        <w:spacing w:after="80"/>
      </w:pPr>
      <w:r>
        <w:t xml:space="preserve">Ask one warm-up question on each database so the first answer in front of the panel isn’t slow.</w:t>
      </w:r>
    </w:p>
    <w:p>
      <w:pPr>
        <w:pStyle w:val="ListParagraph"/>
        <w:numPr>
          <w:ilvl w:val="0"/>
          <w:numId w:val="3"/>
        </w:numPr>
        <w:spacing w:after="80"/>
      </w:pPr>
      <w:r>
        <w:t xml:space="preserve">Check the chat page says the SQL is written by Agent 4’s adaptive Qwen and the gate is Wathsala’s model, not “word check”.</w:t>
      </w:r>
    </w:p>
    <w:p>
      <w:pPr>
        <w:pStyle w:val="ListParagraph"/>
        <w:numPr>
          <w:ilvl w:val="0"/>
          <w:numId w:val="3"/>
        </w:numPr>
        <w:spacing w:after="80"/>
      </w:pPr>
      <w:r>
        <w:t xml:space="preserve">Turn off notifications and sleep mode, plug in the charger, and keep the recorded demo video ready on the desktop and a USB drive.</w:t>
      </w:r>
    </w:p>
    <w:p>
      <w:pPr>
        <w:spacing w:after="80" w:before="120"/>
      </w:pPr>
      <w:r>
        <w:t xml:space="preserve">If the PowerShell script is blocked, run this once: Set-ExecutionPolicy -Scope CurrentUser RemoteSigned. To start by hand instead:</w:t>
      </w:r>
    </w:p>
    <w:p>
      <w:pPr>
        <w:shd w:fill="F1F3F6" w:color="auto" w:val="clear"/>
        <w:spacing w:after="120"/>
        <w:ind w:left="360"/>
      </w:pPr>
      <w:r>
        <w:rPr>
          <w:rFonts w:ascii="Consolas" w:cs="Consolas" w:eastAsia="Consolas" w:hAnsi="Consolas"/>
          <w:sz w:val="20"/>
          <w:szCs w:val="20"/>
        </w:rPr>
        <w:t xml:space="preserve">$env:J26_GATE = "kd_multitask"; $env:J26_GENERATOR = "adaptive_qwen"; python -m uvicorn harness.app:app --port 8765</w:t>
      </w:r>
    </w:p>
    <w:p>
      <w:pPr>
        <w:pStyle w:val="Heading2"/>
        <w:spacing w:after="120" w:before="240"/>
      </w:pPr>
      <w:r>
        <w:t xml:space="preserve">Run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00"/>
        <w:gridCol w:w="3226"/>
      </w:tblGrid>
      <w:tr>
        <w:trPr>
          <w:tblHeader/>
        </w:trPr>
        <w:tc>
          <w:tcPr>
            <w:tcW w:type="dxa" w:w="1200"/>
            <w:tcBorders>
              <w:top w:val="single" w:color="D5DAE1" w:sz="4"/>
              <w:left w:val="single" w:color="D5DAE1" w:sz="4"/>
              <w:bottom w:val="single" w:color="D5DAE1" w:sz="4"/>
              <w:right w:val="single" w:color="D5DAE1" w:sz="4"/>
            </w:tcBorders>
            <w:shd w:fill="14213D" w:color="auto" w:val="clear"/>
            <w:tcMar>
              <w:top w:type="dxa" w:w="60"/>
              <w:left w:type="dxa" w:w="100"/>
              <w:bottom w:type="dxa" w:w="60"/>
              <w:right w:type="dxa" w:w="100"/>
            </w:tcMar>
          </w:tcPr>
          <w:p>
            <w:r>
              <w:rPr>
                <w:b/>
                <w:bCs/>
                <w:color w:val="FFFFFF"/>
                <w:sz w:val="20"/>
                <w:szCs w:val="20"/>
              </w:rPr>
              <w:t xml:space="preserve">Time</w:t>
            </w:r>
          </w:p>
        </w:tc>
        <w:tc>
          <w:tcPr>
            <w:tcW w:type="dxa" w:w="1600"/>
            <w:tcBorders>
              <w:top w:val="single" w:color="D5DAE1" w:sz="4"/>
              <w:left w:val="single" w:color="D5DAE1" w:sz="4"/>
              <w:bottom w:val="single" w:color="D5DAE1" w:sz="4"/>
              <w:right w:val="single" w:color="D5DAE1" w:sz="4"/>
            </w:tcBorders>
            <w:shd w:fill="14213D" w:color="auto" w:val="clear"/>
            <w:tcMar>
              <w:top w:type="dxa" w:w="60"/>
              <w:left w:type="dxa" w:w="100"/>
              <w:bottom w:type="dxa" w:w="60"/>
              <w:right w:type="dxa" w:w="100"/>
            </w:tcMar>
          </w:tcPr>
          <w:p>
            <w:r>
              <w:rPr>
                <w:b/>
                <w:bCs/>
                <w:color w:val="FFFFFF"/>
                <w:sz w:val="20"/>
                <w:szCs w:val="20"/>
              </w:rPr>
              <w:t xml:space="preserve">Who</w:t>
            </w:r>
          </w:p>
        </w:tc>
        <w:tc>
          <w:tcPr>
            <w:tcW w:type="dxa" w:w="3000"/>
            <w:tcBorders>
              <w:top w:val="single" w:color="D5DAE1" w:sz="4"/>
              <w:left w:val="single" w:color="D5DAE1" w:sz="4"/>
              <w:bottom w:val="single" w:color="D5DAE1" w:sz="4"/>
              <w:right w:val="single" w:color="D5DAE1" w:sz="4"/>
            </w:tcBorders>
            <w:shd w:fill="14213D" w:color="auto" w:val="clear"/>
            <w:tcMar>
              <w:top w:type="dxa" w:w="60"/>
              <w:left w:type="dxa" w:w="100"/>
              <w:bottom w:type="dxa" w:w="60"/>
              <w:right w:type="dxa" w:w="100"/>
            </w:tcMar>
          </w:tcPr>
          <w:p>
            <w:r>
              <w:rPr>
                <w:b/>
                <w:bCs/>
                <w:color w:val="FFFFFF"/>
                <w:sz w:val="20"/>
                <w:szCs w:val="20"/>
              </w:rPr>
              <w:t xml:space="preserve">Do this</w:t>
            </w:r>
          </w:p>
        </w:tc>
        <w:tc>
          <w:tcPr>
            <w:tcW w:type="dxa" w:w="3226"/>
            <w:tcBorders>
              <w:top w:val="single" w:color="D5DAE1" w:sz="4"/>
              <w:left w:val="single" w:color="D5DAE1" w:sz="4"/>
              <w:bottom w:val="single" w:color="D5DAE1" w:sz="4"/>
              <w:right w:val="single" w:color="D5DAE1" w:sz="4"/>
            </w:tcBorders>
            <w:shd w:fill="14213D" w:color="auto" w:val="clear"/>
            <w:tcMar>
              <w:top w:type="dxa" w:w="60"/>
              <w:left w:type="dxa" w:w="100"/>
              <w:bottom w:type="dxa" w:w="60"/>
              <w:right w:type="dxa" w:w="100"/>
            </w:tcMar>
          </w:tcPr>
          <w:p>
            <w:r>
              <w:rPr>
                <w:b/>
                <w:bCs/>
                <w:color w:val="FFFFFF"/>
                <w:sz w:val="20"/>
                <w:szCs w:val="20"/>
              </w:rPr>
              <w:t xml:space="preserve">Say this</w:t>
            </w:r>
          </w:p>
        </w:tc>
      </w:tr>
      <w:tr>
        <w:trPr>
          <w:tblHeader w:val="false"/>
        </w:trPr>
        <w:tc>
          <w:tcPr>
            <w:tcW w:type="dxa" w:w="12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0:00–2:00</w:t>
            </w:r>
          </w:p>
        </w:tc>
        <w:tc>
          <w:tcPr>
            <w:tcW w:type="dxa" w:w="16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Lead</w:t>
            </w:r>
          </w:p>
        </w:tc>
        <w:tc>
          <w:tcPr>
            <w:tcW w:type="dxa" w:w="30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Play the video, if it wasn’t played in the presentation</w:t>
            </w:r>
          </w:p>
        </w:tc>
        <w:tc>
          <w:tcPr>
            <w:tcW w:type="dxa" w:w="3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Nothing; let it play</w:t>
            </w:r>
          </w:p>
        </w:tc>
      </w:tr>
      <w:tr>
        <w:trPr>
          <w:tblHeader w:val="false"/>
        </w:trPr>
        <w:tc>
          <w:tcPr>
            <w:tcW w:type="dxa" w:w="12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2:00–3:00</w:t>
            </w:r>
          </w:p>
        </w:tc>
        <w:tc>
          <w:tcPr>
            <w:tcW w:type="dxa" w:w="16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Janiru</w:t>
            </w:r>
          </w:p>
        </w:tc>
        <w:tc>
          <w:tcPr>
            <w:tcW w:type="dxa" w:w="30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Chat page, Chinook database. Type “Which customers are from Canada?”</w:t>
            </w:r>
          </w:p>
        </w:tc>
        <w:tc>
          <w:tcPr>
            <w:tcW w:type="dxa" w:w="3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“A staff member asks in plain English and gets the rows and the SQL.”</w:t>
            </w:r>
          </w:p>
        </w:tc>
      </w:tr>
      <w:tr>
        <w:trPr>
          <w:tblHeader w:val="false"/>
        </w:trPr>
        <w:tc>
          <w:tcPr>
            <w:tcW w:type="dxa" w:w="12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3:00–3:45</w:t>
            </w:r>
          </w:p>
        </w:tc>
        <w:tc>
          <w:tcPr>
            <w:tcW w:type="dxa" w:w="16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Janiru</w:t>
            </w:r>
          </w:p>
        </w:tc>
        <w:tc>
          <w:tcPr>
            <w:tcW w:type="dxa" w:w="30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Open the trace, Agent 1 section; then the Pipeline Explorer’s Agent 1 tab</w:t>
            </w:r>
          </w:p>
        </w:tc>
        <w:tc>
          <w:tcPr>
            <w:tcW w:type="dxa" w:w="3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“These are the tables and columns I kept, and why. This page runs my agent on its own, as the panel asked.”</w:t>
            </w:r>
          </w:p>
        </w:tc>
      </w:tr>
      <w:tr>
        <w:trPr>
          <w:tblHeader w:val="false"/>
        </w:trPr>
        <w:tc>
          <w:tcPr>
            <w:tcW w:type="dxa" w:w="12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3:45–4:15</w:t>
            </w:r>
          </w:p>
        </w:tc>
        <w:tc>
          <w:tcPr>
            <w:tcW w:type="dxa" w:w="16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Wathsala</w:t>
            </w:r>
          </w:p>
        </w:tc>
        <w:tc>
          <w:tcPr>
            <w:tcW w:type="dxa" w:w="30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Trace: gate section</w:t>
            </w:r>
          </w:p>
        </w:tc>
        <w:tc>
          <w:tcPr>
            <w:tcW w:type="dxa" w:w="3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“My distilled model passed it as a database question with this probability, in about 0.2 s.”</w:t>
            </w:r>
          </w:p>
        </w:tc>
      </w:tr>
      <w:tr>
        <w:trPr>
          <w:tblHeader w:val="false"/>
        </w:trPr>
        <w:tc>
          <w:tcPr>
            <w:tcW w:type="dxa" w:w="12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4:15–5:00</w:t>
            </w:r>
          </w:p>
        </w:tc>
        <w:tc>
          <w:tcPr>
            <w:tcW w:type="dxa" w:w="16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Thathsarani</w:t>
            </w:r>
          </w:p>
        </w:tc>
        <w:tc>
          <w:tcPr>
            <w:tcW w:type="dxa" w:w="30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Trace: SQL step</w:t>
            </w:r>
          </w:p>
        </w:tc>
        <w:tc>
          <w:tcPr>
            <w:tcW w:type="dxa" w:w="3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“This label chooses my head. Today a stand-in writes the SQL; my trained model connects next.”</w:t>
            </w:r>
          </w:p>
        </w:tc>
      </w:tr>
      <w:tr>
        <w:trPr>
          <w:tblHeader w:val="false"/>
        </w:trPr>
        <w:tc>
          <w:tcPr>
            <w:tcW w:type="dxa" w:w="12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5:00–5:45</w:t>
            </w:r>
          </w:p>
        </w:tc>
        <w:tc>
          <w:tcPr>
            <w:tcW w:type="dxa" w:w="16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Inushki</w:t>
            </w:r>
          </w:p>
        </w:tc>
        <w:tc>
          <w:tcPr>
            <w:tcW w:type="dxa" w:w="30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Trace: execution; then the Explorer’s Agent 4 tab</w:t>
            </w:r>
          </w:p>
        </w:tc>
        <w:tc>
          <w:tcPr>
            <w:tcW w:type="dxa" w:w="3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“It ran read-only, first attempt. This is my layer map: six layers 8-bit, the rest 4-bit, in 1.3 GB.”</w:t>
            </w:r>
          </w:p>
        </w:tc>
      </w:tr>
      <w:tr>
        <w:trPr>
          <w:tblHeader w:val="false"/>
        </w:trPr>
        <w:tc>
          <w:tcPr>
            <w:tcW w:type="dxa" w:w="12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5:45–7:00</w:t>
            </w:r>
          </w:p>
        </w:tc>
        <w:tc>
          <w:tcPr>
            <w:tcW w:type="dxa" w:w="16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Janiru (each owner names their check)</w:t>
            </w:r>
          </w:p>
        </w:tc>
        <w:tc>
          <w:tcPr>
            <w:tcW w:type="dxa" w:w="30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Type “tell me a joke”, then “delete all customers”</w:t>
            </w:r>
          </w:p>
        </w:tc>
        <w:tc>
          <w:tcPr>
            <w:tcW w:type="dxa" w:w="3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“The gate declines the joke before any SQL. The delete is refused: read-only, SELECT only.”</w:t>
            </w:r>
          </w:p>
        </w:tc>
      </w:tr>
      <w:tr>
        <w:trPr>
          <w:tblHeader w:val="false"/>
        </w:trPr>
        <w:tc>
          <w:tcPr>
            <w:tcW w:type="dxa" w:w="12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7:00–7:45</w:t>
            </w:r>
          </w:p>
        </w:tc>
        <w:tc>
          <w:tcPr>
            <w:tcW w:type="dxa" w:w="16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Janiru</w:t>
            </w:r>
          </w:p>
        </w:tc>
        <w:tc>
          <w:tcPr>
            <w:tcW w:type="dxa" w:w="30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Save the answer, open the dashboard, download the CSV</w:t>
            </w:r>
          </w:p>
        </w:tc>
        <w:tc>
          <w:tcPr>
            <w:tcW w:type="dxa" w:w="3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“Saved answers re-run as charts and export for Power BI.”</w:t>
            </w:r>
          </w:p>
        </w:tc>
      </w:tr>
      <w:tr>
        <w:trPr>
          <w:tblHeader w:val="false"/>
        </w:trPr>
        <w:tc>
          <w:tcPr>
            <w:tcW w:type="dxa" w:w="12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7:45–10:00</w:t>
            </w:r>
          </w:p>
        </w:tc>
        <w:tc>
          <w:tcPr>
            <w:tcW w:type="dxa" w:w="16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Lead</w:t>
            </w:r>
          </w:p>
        </w:tc>
        <w:tc>
          <w:tcPr>
            <w:tcW w:type="dxa" w:w="30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Invite a panel member to type their own question on Northwind (never tuned on)</w:t>
            </w:r>
          </w:p>
        </w:tc>
        <w:tc>
          <w:tcPr>
            <w:tcW w:type="dxa" w:w="3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“Please try any question.” If it fails, open the trace and say which agent went wrong and why.</w:t>
            </w:r>
          </w:p>
        </w:tc>
      </w:tr>
    </w:tbl>
    <w:p>
      <w:pPr>
        <w:pStyle w:val="Heading2"/>
        <w:spacing w:after="120" w:before="240"/>
      </w:pPr>
      <w:r>
        <w:t xml:space="preserve">If something breaks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5DAE1" w:sz="4"/>
              <w:left w:val="single" w:color="D5DAE1" w:sz="4"/>
              <w:bottom w:val="single" w:color="D5DAE1" w:sz="4"/>
              <w:right w:val="single" w:color="D5DAE1" w:sz="4"/>
            </w:tcBorders>
            <w:shd w:fill="14213D" w:color="auto" w:val="clear"/>
            <w:tcMar>
              <w:top w:type="dxa" w:w="60"/>
              <w:left w:type="dxa" w:w="100"/>
              <w:bottom w:type="dxa" w:w="60"/>
              <w:right w:type="dxa" w:w="100"/>
            </w:tcMar>
          </w:tcPr>
          <w:p>
            <w:r>
              <w:rPr>
                <w:b/>
                <w:bCs/>
                <w:color w:val="FFFFFF"/>
                <w:sz w:val="20"/>
                <w:szCs w:val="20"/>
              </w:rPr>
              <w:t xml:space="preserve">Problem</w:t>
            </w:r>
          </w:p>
        </w:tc>
        <w:tc>
          <w:tcPr>
            <w:tcW w:type="dxa" w:w="6226"/>
            <w:tcBorders>
              <w:top w:val="single" w:color="D5DAE1" w:sz="4"/>
              <w:left w:val="single" w:color="D5DAE1" w:sz="4"/>
              <w:bottom w:val="single" w:color="D5DAE1" w:sz="4"/>
              <w:right w:val="single" w:color="D5DAE1" w:sz="4"/>
            </w:tcBorders>
            <w:shd w:fill="14213D" w:color="auto" w:val="clear"/>
            <w:tcMar>
              <w:top w:type="dxa" w:w="60"/>
              <w:left w:type="dxa" w:w="100"/>
              <w:bottom w:type="dxa" w:w="60"/>
              <w:right w:type="dxa" w:w="100"/>
            </w:tcMar>
          </w:tcPr>
          <w:p>
            <w:r>
              <w:rPr>
                <w:b/>
                <w:bCs/>
                <w:color w:val="FFFFFF"/>
                <w:sz w:val="20"/>
                <w:szCs w:val="20"/>
              </w:rPr>
              <w:t xml:space="preserve">What to do</w:t>
            </w:r>
          </w:p>
        </w:tc>
      </w:tr>
      <w:tr>
        <w:trPr>
          <w:tblHeader w:val="false"/>
        </w:trPr>
        <w:tc>
          <w:tcPr>
            <w:tcW w:type="dxa" w:w="28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App crashes or hangs</w:t>
            </w:r>
          </w:p>
        </w:tc>
        <w:tc>
          <w:tcPr>
            <w:tcW w:type="dxa" w:w="6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Say “We prepared for this” and play the recorded run. Restart in the background with .\scripts\start_app.ps1 -Restart.</w:t>
            </w:r>
          </w:p>
        </w:tc>
      </w:tr>
      <w:tr>
        <w:trPr>
          <w:tblHeader w:val="false"/>
        </w:trPr>
        <w:tc>
          <w:tcPr>
            <w:tcW w:type="dxa" w:w="28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Gate shows “word check”</w:t>
            </w:r>
          </w:p>
        </w:tc>
        <w:tc>
          <w:tcPr>
            <w:tcW w:type="dxa" w:w="6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Her model didn’t load. Say so; the word check still declines off-topic questions.</w:t>
            </w:r>
          </w:p>
        </w:tc>
      </w:tr>
      <w:tr>
        <w:trPr>
          <w:tblHeader w:val="false"/>
        </w:trPr>
        <w:tc>
          <w:tcPr>
            <w:tcW w:type="dxa" w:w="28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The SQL is wrong</w:t>
            </w:r>
          </w:p>
        </w:tc>
        <w:tc>
          <w:tcPr>
            <w:tcW w:type="dxa" w:w="6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Open the trace and explain: the SQL model is the base model, not yet fine-tuned for SQL.</w:t>
            </w:r>
          </w:p>
        </w:tc>
      </w:tr>
      <w:tr>
        <w:trPr>
          <w:tblHeader w:val="false"/>
        </w:trPr>
        <w:tc>
          <w:tcPr>
            <w:tcW w:type="dxa" w:w="2800"/>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No GPU available</w:t>
            </w:r>
          </w:p>
        </w:tc>
        <w:tc>
          <w:tcPr>
            <w:tcW w:type="dxa" w:w="6226"/>
            <w:tcBorders>
              <w:top w:val="single" w:color="D5DAE1" w:sz="4"/>
              <w:left w:val="single" w:color="D5DAE1" w:sz="4"/>
              <w:bottom w:val="single" w:color="D5DAE1" w:sz="4"/>
              <w:right w:val="single" w:color="D5DAE1" w:sz="4"/>
            </w:tcBorders>
            <w:shd w:fill="F7F8FA" w:color="auto" w:val="clear"/>
            <w:tcMar>
              <w:top w:type="dxa" w:w="60"/>
              <w:left w:type="dxa" w:w="100"/>
              <w:bottom w:type="dxa" w:w="60"/>
              <w:right w:type="dxa" w:w="100"/>
            </w:tcMar>
          </w:tcPr>
          <w:p>
            <w:r>
              <w:rPr>
                <w:b w:val="false"/>
                <w:bCs w:val="false"/>
                <w:sz w:val="20"/>
                <w:szCs w:val="20"/>
              </w:rPr>
              <w:t xml:space="preserve">Start without -Generator (phi3 through Ollama) and say which model is answering.</w:t>
            </w:r>
          </w:p>
        </w:tc>
      </w:tr>
      <w:tr>
        <w:trPr>
          <w:tblHeader w:val="false"/>
        </w:trPr>
        <w:tc>
          <w:tcPr>
            <w:tcW w:type="dxa" w:w="2800"/>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Port 8765 already in use</w:t>
            </w:r>
          </w:p>
        </w:tc>
        <w:tc>
          <w:tcPr>
            <w:tcW w:type="dxa" w:w="6226"/>
            <w:tcBorders>
              <w:top w:val="single" w:color="D5DAE1" w:sz="4"/>
              <w:left w:val="single" w:color="D5DAE1" w:sz="4"/>
              <w:bottom w:val="single" w:color="D5DAE1" w:sz="4"/>
              <w:right w:val="single" w:color="D5DAE1" w:sz="4"/>
            </w:tcBorders>
            <w:tcMar>
              <w:top w:type="dxa" w:w="60"/>
              <w:left w:type="dxa" w:w="100"/>
              <w:bottom w:type="dxa" w:w="60"/>
              <w:right w:type="dxa" w:w="100"/>
            </w:tcMar>
          </w:tcPr>
          <w:p>
            <w:r>
              <w:rPr>
                <w:b w:val="false"/>
                <w:bCs w:val="false"/>
                <w:sz w:val="20"/>
                <w:szCs w:val="20"/>
              </w:rPr>
              <w:t xml:space="preserve">Run .\scripts\start_app.ps1 -Restart to stop the old copy first.</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8"/>
        <w:szCs w:val="18"/>
      </w:rPr>
      <w:t xml:space="preserve">J26-DS-336 · PP1 script and demo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mbria" w:cs="Cambria" w:eastAsia="Cambria" w:hAnsi="Cambria"/>
      <w:b/>
      <w:bCs/>
      <w:color w:val="14213D"/>
      <w:sz w:val="44"/>
      <w:szCs w:val="44"/>
    </w:rPr>
  </w:style>
  <w:style w:type="paragraph" w:styleId="Heading1">
    <w:name w:val="Heading 1"/>
    <w:basedOn w:val="Normal"/>
    <w:next w:val="Normal"/>
    <w:qFormat/>
    <w:pPr>
      <w:outlineLvl w:val="0"/>
    </w:pPr>
    <w:rPr>
      <w:rFonts w:ascii="Cambria" w:cs="Cambria" w:eastAsia="Cambria" w:hAnsi="Cambria"/>
      <w:b/>
      <w:bCs/>
      <w:color w:val="14213D"/>
      <w:sz w:val="32"/>
      <w:szCs w:val="32"/>
    </w:rPr>
  </w:style>
  <w:style w:type="paragraph" w:styleId="Heading2">
    <w:name w:val="Heading 2"/>
    <w:basedOn w:val="Normal"/>
    <w:next w:val="Normal"/>
    <w:qFormat/>
    <w:pPr>
      <w:outlineLvl w:val="1"/>
    </w:pPr>
    <w:rPr>
      <w:rFonts w:ascii="Cambria" w:cs="Cambria" w:eastAsia="Cambria" w:hAnsi="Cambria"/>
      <w:b/>
      <w:bCs/>
      <w:color w:val="14213D"/>
      <w:sz w:val="26"/>
      <w:szCs w:val="26"/>
    </w:rPr>
  </w:style>
  <w:style w:type="paragraph" w:styleId="Heading3">
    <w:name w:val="Heading 3"/>
    <w:basedOn w:val="Normal"/>
    <w:next w:val="Normal"/>
    <w:qFormat/>
    <w:pPr>
      <w:outlineLvl w:val="2"/>
    </w:pPr>
    <w:rPr>
      <w:rFonts w:ascii="Calibri" w:cs="Calibri" w:eastAsia="Calibri" w:hAnsi="Calibri"/>
      <w:b/>
      <w:bCs/>
      <w:color w:val="3D47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2026-10-21T15:50:21.036Z</dcterms:created>
  <dcterms:modified xsi:type="dcterms:W3CDTF">2026-10-21T15:50:21.046Z</dcterms:modified>
</cp:coreProperties>
</file>

<file path=docProps/custom.xml><?xml version="1.0" encoding="utf-8"?>
<Properties xmlns="http://schemas.openxmlformats.org/officeDocument/2006/custom-properties" xmlns:vt="http://schemas.openxmlformats.org/officeDocument/2006/docPropsVTypes"/>
</file>