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Evidencias de PharmaSoft</w:t>
      </w:r>
    </w:p>
    <w:p>
      <w:r>
        <w:rPr>
          <w:b/>
        </w:rPr>
        <w:t>Guía práctica de LP2 · Sesión 7</w:t>
      </w:r>
    </w:p>
    <w:p>
      <w:r>
        <w:t>Registro visual de las pruebas realizadas en la aplicación Angular y su comunicación con PharmaBackend. Se documentan los resultados observados en cada captura.</w:t>
      </w:r>
    </w:p>
    <w:p>
      <w:pPr>
        <w:pStyle w:val="Heading1"/>
        <w:spacing w:before="140" w:after="80"/>
      </w:pPr>
      <w:r>
        <w:t>Evidencia 01  |  Pantalla de inicio</w:t>
      </w:r>
    </w:p>
    <w:p>
      <w:pPr>
        <w:spacing w:after="60"/>
      </w:pPr>
      <w:r>
        <w:rPr>
          <w:b/>
        </w:rPr>
        <w:t xml:space="preserve">Resultado: Presentada. </w:t>
      </w:r>
      <w:r>
        <w:t>Se muestra la página principal y los accesos a Categorías y Clientes.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7589520" cy="4162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fd5717e-24c5-4cea-bf7b-7e7475a8a5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4162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40" w:after="80"/>
      </w:pPr>
      <w:r>
        <w:t>Evidencia 02  |  Listado de categorías</w:t>
      </w:r>
    </w:p>
    <w:p>
      <w:pPr>
        <w:spacing w:after="60"/>
      </w:pPr>
      <w:r>
        <w:rPr>
          <w:b/>
        </w:rPr>
        <w:t xml:space="preserve">Resultado: Correcta. </w:t>
      </w:r>
      <w:r>
        <w:t>La aplicación muestra las categorías y la solicitud GET /api/v1/categorias con respuesta 200.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8823960" cy="48201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bb0c4ac-fb96-4680-9a44-e33fb2cfc72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820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40" w:after="80"/>
      </w:pPr>
      <w:r>
        <w:t>Evidencia 03  |  Búsqueda de categorías</w:t>
      </w:r>
    </w:p>
    <w:p>
      <w:pPr>
        <w:spacing w:after="60"/>
      </w:pPr>
      <w:r>
        <w:rPr>
          <w:b/>
        </w:rPr>
        <w:t xml:space="preserve">Resultado: Correcta. </w:t>
      </w:r>
      <w:r>
        <w:t>La búsqueda con el texto “Antibi” filtra el listado y deja visible la categoría coincidente.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8823960" cy="48101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a0183d4-df84-44b0-93c0-efda0856f1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8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40" w:after="80"/>
      </w:pPr>
      <w:r>
        <w:t>Evidencia 04  |  Validación de nombre</w:t>
      </w:r>
    </w:p>
    <w:p>
      <w:pPr>
        <w:spacing w:after="60"/>
      </w:pPr>
      <w:r>
        <w:rPr>
          <w:b/>
        </w:rPr>
        <w:t xml:space="preserve">Resultado: Correcta. </w:t>
      </w:r>
      <w:r>
        <w:t>El formulario indica que el nombre debe tener entre 3 y 50 caracteres y no envía una solicitud al backend mientras el dato es inválido.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8823960" cy="48109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9591e80-2b2e-4e56-9814-7c87d36b5fa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810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40" w:after="80"/>
      </w:pPr>
      <w:r>
        <w:t>Evidencia 05  |  Control de categoría duplicada</w:t>
      </w:r>
    </w:p>
    <w:p>
      <w:pPr>
        <w:spacing w:after="60"/>
      </w:pPr>
      <w:r>
        <w:rPr>
          <w:b/>
        </w:rPr>
        <w:t xml:space="preserve">Resultado: Correcta. </w:t>
      </w:r>
      <w:r>
        <w:t>Al intentar registrar “Antibioticos”, la interfaz presenta el mensaje de duplicidad y el backend responde 409.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8823960" cy="47984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be0e482-2b41-4dd5-865e-2aef3bb848d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79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40" w:after="80"/>
      </w:pPr>
      <w:r>
        <w:t>Evidencia 06  |  Registro de categoría</w:t>
      </w:r>
    </w:p>
    <w:p>
      <w:pPr>
        <w:spacing w:after="60"/>
      </w:pPr>
      <w:r>
        <w:rPr>
          <w:b/>
        </w:rPr>
        <w:t xml:space="preserve">Resultado: Correcta. </w:t>
      </w:r>
      <w:r>
        <w:t>La categoría “Prueba_01” aparece en el listado. Network registra creación 201 y consulta posterior 200.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8823960" cy="48944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c881a62-6bea-4cfe-8e9b-0f95b866871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894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40" w:after="80"/>
      </w:pPr>
      <w:r>
        <w:t>Evidencia 07  |  Actualización del estado</w:t>
      </w:r>
    </w:p>
    <w:p>
      <w:pPr>
        <w:spacing w:after="60"/>
      </w:pPr>
      <w:r>
        <w:rPr>
          <w:b/>
        </w:rPr>
        <w:t xml:space="preserve">Resultado: Correcta. </w:t>
      </w:r>
      <w:r>
        <w:t>La categoría “Prueba_01” aparece como inactiva después de actualizar su estado; las solicitudes de actualización responden 200.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8823960" cy="47942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df8b1e2-5d5e-4574-be6c-a17a7a205d5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794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40" w:after="80"/>
      </w:pPr>
      <w:r>
        <w:t>Evidencia 08  |  Eliminación de categoría con productos relacionados</w:t>
      </w:r>
    </w:p>
    <w:p>
      <w:pPr>
        <w:spacing w:after="60"/>
      </w:pPr>
      <w:r>
        <w:rPr>
          <w:b/>
        </w:rPr>
        <w:t xml:space="preserve">Resultado: Pendiente de corrección. </w:t>
      </w:r>
      <w:r>
        <w:t>Resultado observado: la aplicación muestra “Error 500: Unknown Error” y la solicitud DELETE devuelve 500. Este caso no cumple el resultado esperado de rechazo controlado (409); se deja registrado como pendiente de corrección.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8823960" cy="4823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febaca6-5e7e-4b82-9080-441febc553e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82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40" w:after="80"/>
      </w:pPr>
      <w:r>
        <w:t>Evidencia 09  |  Eliminación de categoría sin productos relacionados</w:t>
      </w:r>
    </w:p>
    <w:p>
      <w:pPr>
        <w:spacing w:after="60"/>
      </w:pPr>
      <w:r>
        <w:rPr>
          <w:b/>
        </w:rPr>
        <w:t xml:space="preserve">Resultado: Correcta. </w:t>
      </w:r>
      <w:r>
        <w:t>La categoría de prueba desaparece del listado. Network registra DELETE 204 y consulta GET 200.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8823960" cy="48273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c52c29c-f203-43c5-b952-0e8033fcf4f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827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40" w:after="80"/>
      </w:pPr>
      <w:r>
        <w:t>Evidencia 10  |  Backend no disponible</w:t>
      </w:r>
    </w:p>
    <w:p>
      <w:pPr>
        <w:spacing w:after="60"/>
      </w:pPr>
      <w:r>
        <w:rPr>
          <w:b/>
        </w:rPr>
        <w:t xml:space="preserve">Resultado: Correcta. </w:t>
      </w:r>
      <w:r>
        <w:t>Con PharmaBackend detenido, la interfaz comunica que no pudo conectarse y Network muestra la solicitud fallida.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8823960" cy="48189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f636c2b-0686-4338-91d1-7140e533d6d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818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40" w:after="80"/>
      </w:pPr>
      <w:r>
        <w:t>Evidencia 11  |  Ruta inexistente</w:t>
      </w:r>
    </w:p>
    <w:p>
      <w:pPr>
        <w:spacing w:after="60"/>
      </w:pPr>
      <w:r>
        <w:rPr>
          <w:b/>
        </w:rPr>
        <w:t xml:space="preserve">Resultado: Correcta. </w:t>
      </w:r>
      <w:r>
        <w:t>La ruta /ruta-inexistente presenta la página 404 con una opción para volver al inicio.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8823960" cy="48633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e7ab830-010f-4769-9bc6-b5aab231378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863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40" w:after="80"/>
      </w:pPr>
      <w:r>
        <w:t>Evidencia 12  |  Menú lateral contraído</w:t>
      </w:r>
    </w:p>
    <w:p>
      <w:pPr>
        <w:spacing w:after="60"/>
      </w:pPr>
      <w:r>
        <w:rPr>
          <w:b/>
        </w:rPr>
        <w:t xml:space="preserve">Resultado: Presentada. </w:t>
      </w:r>
      <w:r>
        <w:t>La pantalla de inicio se muestra con el menú lateral contraído.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8823960" cy="48382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d3ec4c9-ff8c-4595-8685-82fe48c6885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838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Anexo  |  Productos asociados a la categoría</w:t>
      </w:r>
    </w:p>
    <w:p>
      <w:r>
        <w:t>La respuesta de GET /api/v1/productos muestra productos asociados a la categoría “Antibioticos” (ID 61). Esta captura contextualiza la prueba de eliminación de la evidencia 08.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3960" cy="58708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ab5a8cb-0e47-44f5-ac49-60ac8196c0f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8708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LP2  •  Sesión 7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PHARMASOFT  |  EVIDENCIAS DE LA GUÍA PRÁCTICA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 PharmaSoft - Sesión 7</dc:title>
  <dc:subject>Capturas de pruebas de la guía práctica de LP2</dc:subject>
  <dc:creator>PharmaSoft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