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LMS Pricing Strategy, Process &amp; Examples</w:t>
      </w:r>
    </w:p>
    <w:p>
      <w:pPr>
        <w:spacing w:after="200"/>
      </w:pPr>
      <w:r>
        <w:rPr>
          <w:color w:val="666666"/>
          <w:sz w:val="22"/>
        </w:rPr>
        <w:t>A customer-facing rate structure with example calculations and upgrade paths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2F75B5"/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83B56"/>
                <w:sz w:val="21"/>
              </w:rPr>
              <w:t>Pricing principle</w:t>
              <w:br/>
            </w:r>
            <w:r>
              <w:rPr>
                <w:sz w:val="19"/>
              </w:rPr>
              <w:t>Small providers can start with no or low monthly commitment and pay only when they collect student fees. Institutions use fixed pricing for budget certainty.</w:t>
            </w:r>
          </w:p>
        </w:tc>
      </w:tr>
    </w:tbl>
    <w:p>
      <w:pPr>
        <w:pStyle w:val="Heading1"/>
      </w:pPr>
      <w:r>
        <w:t>1. Standard Percentage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576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Typical Market Position</w:t>
            </w:r>
          </w:p>
        </w:tc>
        <w:tc>
          <w:tcPr>
            <w:tcW w:type="dxa" w:w="187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Platform Fee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Tier A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Lower-income / highly price-sensitive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2.5%</w:t>
            </w:r>
          </w:p>
        </w:tc>
      </w:tr>
      <w:tr>
        <w:tc>
          <w:tcPr>
            <w:tcW w:type="dxa" w:w="1584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Tier B</w:t>
            </w:r>
          </w:p>
        </w:tc>
        <w:tc>
          <w:tcPr>
            <w:tcW w:type="dxa" w:w="57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Lower-middle / emerging</w:t>
            </w:r>
          </w:p>
        </w:tc>
        <w:tc>
          <w:tcPr>
            <w:tcW w:type="dxa" w:w="187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3%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Tier C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Upper-middle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4%</w:t>
            </w:r>
          </w:p>
        </w:tc>
      </w:tr>
      <w:tr>
        <w:tc>
          <w:tcPr>
            <w:tcW w:type="dxa" w:w="1584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Tier D</w:t>
            </w:r>
          </w:p>
        </w:tc>
        <w:tc>
          <w:tcPr>
            <w:tcW w:type="dxa" w:w="57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High-income</w:t>
            </w:r>
          </w:p>
        </w:tc>
        <w:tc>
          <w:tcPr>
            <w:tcW w:type="dxa" w:w="187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5%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Tier E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Premium Gulf / high-value contracts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8"/>
              </w:rPr>
              <w:t>7%</w:t>
            </w:r>
          </w:p>
        </w:tc>
      </w:tr>
    </w:tbl>
    <w:p>
      <w:pPr>
        <w:spacing w:after="0"/>
      </w:pPr>
    </w:p>
    <w:p>
      <w:pPr>
        <w:pStyle w:val="Heading1"/>
      </w:pPr>
      <w:r>
        <w:t>2. Example Revenue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448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Example Market</w:t>
            </w:r>
          </w:p>
        </w:tc>
        <w:tc>
          <w:tcPr>
            <w:tcW w:type="dxa" w:w="216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Class Fee / Student</w:t>
            </w:r>
          </w:p>
        </w:tc>
        <w:tc>
          <w:tcPr>
            <w:tcW w:type="dxa" w:w="115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Rate</w:t>
            </w:r>
          </w:p>
        </w:tc>
        <w:tc>
          <w:tcPr>
            <w:tcW w:type="dxa" w:w="2016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LMS Revenue / Student</w:t>
            </w:r>
          </w:p>
        </w:tc>
        <w:tc>
          <w:tcPr>
            <w:tcW w:type="dxa" w:w="2304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LMS Revenue / 100 Students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Sri Lanka example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LKR 5,000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2.5%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LKR 125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LKR 12,500</w:t>
            </w:r>
          </w:p>
        </w:tc>
      </w:tr>
      <w:tr>
        <w:tc>
          <w:tcPr>
            <w:tcW w:type="dxa" w:w="244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India / emerging example</w:t>
            </w:r>
          </w:p>
        </w:tc>
        <w:tc>
          <w:tcPr>
            <w:tcW w:type="dxa" w:w="21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10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3%</w:t>
            </w:r>
          </w:p>
        </w:tc>
        <w:tc>
          <w:tcPr>
            <w:tcW w:type="dxa" w:w="2016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0.30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30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Upper-middle example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25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4%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1.00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100</w:t>
            </w:r>
          </w:p>
        </w:tc>
      </w:tr>
      <w:tr>
        <w:tc>
          <w:tcPr>
            <w:tcW w:type="dxa" w:w="244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High-income example</w:t>
            </w:r>
          </w:p>
        </w:tc>
        <w:tc>
          <w:tcPr>
            <w:tcW w:type="dxa" w:w="21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50</w:t>
            </w:r>
          </w:p>
        </w:tc>
        <w:tc>
          <w:tcPr>
            <w:tcW w:type="dxa" w:w="115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5%</w:t>
            </w:r>
          </w:p>
        </w:tc>
        <w:tc>
          <w:tcPr>
            <w:tcW w:type="dxa" w:w="2016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2.50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250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UAE / Gulf premium example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100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7%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7.00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700</w:t>
            </w:r>
          </w:p>
        </w:tc>
      </w:tr>
    </w:tbl>
    <w:p>
      <w:pPr>
        <w:spacing w:after="0"/>
      </w:pPr>
    </w:p>
    <w:p>
      <w:r>
        <w:rPr>
          <w:b/>
        </w:rPr>
        <w:t xml:space="preserve">Calculation example: </w:t>
      </w:r>
      <w:r>
        <w:t>If a class has 100 paid students and each pays USD 100, total class revenue is USD 10,000. At a 7% platform fee, LMS revenue is USD 700 before any taxes, refunds or payment-gateway charges.</w:t>
      </w:r>
    </w:p>
    <w:p>
      <w:pPr>
        <w:pStyle w:val="Heading1"/>
      </w:pPr>
      <w:r>
        <w:t>3. Fixed Pricing for Schools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School Market</w:t>
            </w:r>
          </w:p>
        </w:tc>
        <w:tc>
          <w:tcPr>
            <w:tcW w:type="dxa" w:w="259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Per Active Student / Month</w:t>
            </w:r>
          </w:p>
        </w:tc>
        <w:tc>
          <w:tcPr>
            <w:tcW w:type="dxa" w:w="216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100 Students / Month</w:t>
            </w:r>
          </w:p>
        </w:tc>
        <w:tc>
          <w:tcPr>
            <w:tcW w:type="dxa" w:w="2304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1,000 Students / Month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Sri Lanka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LKR 100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LKR 10,000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LKR 100,000</w:t>
            </w:r>
          </w:p>
        </w:tc>
      </w:tr>
      <w:tr>
        <w:tc>
          <w:tcPr>
            <w:tcW w:type="dxa" w:w="244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Emerging market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</w:t>
            </w:r>
          </w:p>
        </w:tc>
        <w:tc>
          <w:tcPr>
            <w:tcW w:type="dxa" w:w="21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100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1,000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Growth market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2.50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250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2,500</w:t>
            </w:r>
          </w:p>
        </w:tc>
      </w:tr>
      <w:tr>
        <w:tc>
          <w:tcPr>
            <w:tcW w:type="dxa" w:w="2448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Developed market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5–8</w:t>
            </w:r>
          </w:p>
        </w:tc>
        <w:tc>
          <w:tcPr>
            <w:tcW w:type="dxa" w:w="216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500–800</w:t>
            </w:r>
          </w:p>
        </w:tc>
        <w:tc>
          <w:tcPr>
            <w:tcW w:type="dxa" w:w="2304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USD 5,000–8,000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Premium Gulf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up to USD 10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up to USD 1,000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up to USD 10,000</w:t>
            </w:r>
          </w:p>
        </w:tc>
      </w:tr>
    </w:tbl>
    <w:p>
      <w:pPr>
        <w:spacing w:after="0"/>
      </w:pPr>
    </w:p>
    <w:p>
      <w:r>
        <w:rPr>
          <w:b/>
        </w:rPr>
        <w:t xml:space="preserve">Volume guidance: </w:t>
      </w:r>
      <w:r>
        <w:t>1–500 students: standard price; 501–2,000: up to 10% discount; 2,001–10,000: up to 20% discount; above 10,000: custom enterprise quote.</w:t>
      </w:r>
    </w:p>
    <w:p>
      <w:pPr>
        <w:pStyle w:val="Heading1"/>
      </w:pPr>
      <w:r>
        <w:t>4. Optional Package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59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Subscription</w:t>
            </w:r>
          </w:p>
        </w:tc>
        <w:tc>
          <w:tcPr>
            <w:tcW w:type="dxa" w:w="2592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Payment Fee</w:t>
            </w:r>
          </w:p>
        </w:tc>
        <w:tc>
          <w:tcPr>
            <w:tcW w:type="dxa" w:w="2880"/>
            <w:shd w:fill="183B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/>
                <w:color w:val="FFFFFF"/>
                <w:sz w:val="17"/>
              </w:rPr>
              <w:t>Best For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Starter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No/low monthly fee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Higher transaction rate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Teachers and new academies</w:t>
            </w:r>
          </w:p>
        </w:tc>
      </w:tr>
      <w:tr>
        <w:tc>
          <w:tcPr>
            <w:tcW w:type="dxa" w:w="187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Growth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Moderate subscription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Reduced transaction rate</w:t>
            </w:r>
          </w:p>
        </w:tc>
        <w:tc>
          <w:tcPr>
            <w:tcW w:type="dxa" w:w="288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Growing academies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Professional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Higher subscription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Low transaction rate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High-volume providers</w:t>
            </w:r>
          </w:p>
        </w:tc>
      </w:tr>
      <w:tr>
        <w:tc>
          <w:tcPr>
            <w:tcW w:type="dxa" w:w="187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School / Enterprise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Fixed per-student or annual contract</w:t>
            </w:r>
          </w:p>
        </w:tc>
        <w:tc>
          <w:tcPr>
            <w:tcW w:type="dxa" w:w="2592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0% or negotiated transaction fee</w:t>
            </w:r>
          </w:p>
        </w:tc>
        <w:tc>
          <w:tcPr>
            <w:tcW w:type="dxa" w:w="2880"/>
            <w:shd w:fill="F6F8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b w:val="0"/>
                <w:color w:val="000000"/>
                <w:sz w:val="17"/>
              </w:rPr>
              <w:t>Schools, universities, networks</w:t>
            </w:r>
          </w:p>
        </w:tc>
      </w:tr>
    </w:tbl>
    <w:p>
      <w:pPr>
        <w:spacing w:after="0"/>
      </w:pPr>
    </w:p>
    <w:p>
      <w:pPr>
        <w:pStyle w:val="Heading1"/>
      </w:pPr>
      <w:r>
        <w:t>5. Customer Billing Process</w:t>
      </w:r>
    </w:p>
    <w:p>
      <w:pPr>
        <w:spacing w:after="80"/>
      </w:pPr>
      <w:r>
        <w:rPr>
          <w:b/>
          <w:color w:val="183B56"/>
        </w:rPr>
        <w:t xml:space="preserve">1. Customer signs up — </w:t>
      </w:r>
      <w:r>
        <w:t>Choose account type and billing country.</w:t>
      </w:r>
    </w:p>
    <w:p>
      <w:pPr>
        <w:spacing w:after="80"/>
      </w:pPr>
      <w:r>
        <w:rPr>
          <w:b/>
          <w:color w:val="183B56"/>
        </w:rPr>
        <w:t xml:space="preserve">2. LMS assigns pricing — </w:t>
      </w:r>
      <w:r>
        <w:t>Automatic market tier, or an approved enterprise override.</w:t>
      </w:r>
    </w:p>
    <w:p>
      <w:pPr>
        <w:spacing w:after="80"/>
      </w:pPr>
      <w:r>
        <w:rPr>
          <w:b/>
          <w:color w:val="183B56"/>
        </w:rPr>
        <w:t xml:space="preserve">3. Customer creates class/course — </w:t>
      </w:r>
      <w:r>
        <w:t>Set fee, currency, schedule and student capacity.</w:t>
      </w:r>
    </w:p>
    <w:p>
      <w:pPr>
        <w:spacing w:after="80"/>
      </w:pPr>
      <w:r>
        <w:rPr>
          <w:b/>
          <w:color w:val="183B56"/>
        </w:rPr>
        <w:t xml:space="preserve">4. Student pays — </w:t>
      </w:r>
      <w:r>
        <w:t>Payment is recorded against the class/course and student.</w:t>
      </w:r>
    </w:p>
    <w:p>
      <w:pPr>
        <w:spacing w:after="80"/>
      </w:pPr>
      <w:r>
        <w:rPr>
          <w:b/>
          <w:color w:val="183B56"/>
        </w:rPr>
        <w:t xml:space="preserve">5. Fees are calculated — </w:t>
      </w:r>
      <w:r>
        <w:t>Separate platform fee, gateway fee, taxes and refunds in the ledger.</w:t>
      </w:r>
    </w:p>
    <w:p>
      <w:pPr>
        <w:spacing w:after="80"/>
      </w:pPr>
      <w:r>
        <w:rPr>
          <w:b/>
          <w:color w:val="183B56"/>
        </w:rPr>
        <w:t xml:space="preserve">6. Customer receives payout/invoice — </w:t>
      </w:r>
      <w:r>
        <w:t>Revenue-share customers receive net payout; institutions receive fixed recurring invoices.</w:t>
      </w:r>
    </w:p>
    <w:p>
      <w:pPr>
        <w:pStyle w:val="Heading1"/>
      </w:pPr>
      <w:r>
        <w:t>6. Recommended Sales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83B56"/>
                <w:sz w:val="21"/>
              </w:rPr>
              <w:t>Simple positioning</w:t>
              <w:br/>
            </w:r>
            <w:r>
              <w:rPr>
                <w:sz w:val="19"/>
              </w:rPr>
              <w:t>For teachers and academies: “Start without a heavy software bill. We earn when you earn.” For schools: “One predictable price per active student, with volume discounts.”</w:t>
            </w:r>
          </w:p>
        </w:tc>
      </w:tr>
    </w:tbl>
    <w:p>
      <w:pPr>
        <w:pStyle w:val="Heading1"/>
      </w:pPr>
      <w:r>
        <w:t>7. Final Pricing Rules to Configure in the LMS</w:t>
      </w:r>
    </w:p>
    <w:p>
      <w:pPr>
        <w:pStyle w:val="ListBullet"/>
        <w:spacing w:after="60"/>
      </w:pPr>
      <w:r>
        <w:t>One default revenue-share percentage per market tier.</w:t>
      </w:r>
    </w:p>
    <w:p>
      <w:pPr>
        <w:pStyle w:val="ListBullet"/>
        <w:spacing w:after="60"/>
      </w:pPr>
      <w:r>
        <w:t>One institutional per-active-student rate per country/tier.</w:t>
      </w:r>
    </w:p>
    <w:p>
      <w:pPr>
        <w:pStyle w:val="ListBullet"/>
        <w:spacing w:after="60"/>
      </w:pPr>
      <w:r>
        <w:t>Contract override field for negotiated enterprise customers.</w:t>
      </w:r>
    </w:p>
    <w:p>
      <w:pPr>
        <w:pStyle w:val="ListBullet"/>
        <w:spacing w:after="60"/>
      </w:pPr>
      <w:r>
        <w:t>Separate settings for platform fee, payment gateway fee, tax and refund treatment.</w:t>
      </w:r>
    </w:p>
    <w:p>
      <w:pPr>
        <w:pStyle w:val="ListBullet"/>
        <w:spacing w:after="60"/>
      </w:pPr>
      <w:r>
        <w:t>Monthly reporting by customer, country, class, gross payment and platform revenue.</w:t>
      </w:r>
    </w:p>
    <w:p>
      <w:pPr>
        <w:spacing w:before="200"/>
      </w:pPr>
      <w:r>
        <w:rPr>
          <w:b/>
        </w:rPr>
        <w:t xml:space="preserve">Note: </w:t>
      </w:r>
      <w:r>
        <w:t>These prices are a commercial starting framework. Before launch, validate local tax, payment, consumer-protection and education-sector requirements in each target market.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Commercial concept document • Rates can be adjusted by market, contract size, taxes and payment-processing costs.</w:t>
    </w:r>
  </w:p>
  <w:p>
    <w:pPr>
      <w:jc w:val="right"/>
    </w:pPr>
    <w:r>
      <w:rPr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75B5"/>
        <w:sz w:val="16"/>
      </w:rPr>
      <w:t>GLOBAL LMS  |  COMMERCIAL PRICING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B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