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LMS Revenue Model &amp; How It Works</w:t>
      </w:r>
    </w:p>
    <w:p>
      <w:pPr>
        <w:spacing w:after="200"/>
      </w:pPr>
      <w:r>
        <w:rPr>
          <w:color w:val="666666"/>
          <w:sz w:val="22"/>
        </w:rPr>
        <w:t>A simple hybrid monetization model for teachers, academies, schools and universities worldwide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2F75B5"/>
          </w:tcPr>
          <w:p>
            <w:r/>
          </w:p>
        </w:tc>
      </w:tr>
    </w:tbl>
    <w:p>
      <w:pPr>
        <w:spacing w:after="0"/>
      </w:pPr>
    </w:p>
    <w:p>
      <w:r>
        <w:rPr>
          <w:b/>
        </w:rPr>
        <w:t xml:space="preserve">Purpose. </w:t>
      </w:r>
      <w:r>
        <w:t>This model lets small education providers start with almost no fixed software cost, while larger institutions can choose predictable subscription pricing. The LMS earns revenue either from a percentage of payments processed through the platform or from a fixed per-student institutional fee.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83B56"/>
                <w:sz w:val="21"/>
              </w:rPr>
              <w:t>Recommended model</w:t>
              <w:br/>
            </w:r>
            <w:r>
              <w:rPr>
                <w:sz w:val="19"/>
              </w:rPr>
              <w:t>Teachers, tutors, academies and course creators: percentage of class/course payments. Schools, universities and large institutions: fixed per-active-student monthly pricing.</w:t>
            </w:r>
          </w:p>
        </w:tc>
      </w:tr>
    </w:tbl>
    <w:p>
      <w:pPr>
        <w:pStyle w:val="Heading1"/>
      </w:pPr>
      <w:r>
        <w:t>1. Who Uses Each Pricing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Customer Type</w:t>
            </w:r>
          </w:p>
        </w:tc>
        <w:tc>
          <w:tcPr>
            <w:tcW w:type="dxa" w:w="2592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Recommended Pricing</w:t>
            </w:r>
          </w:p>
        </w:tc>
        <w:tc>
          <w:tcPr>
            <w:tcW w:type="dxa" w:w="4608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Why It Fits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Individual teacher / tutor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Revenue share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Easy entry; platform earns when the teacher earns</w:t>
            </w:r>
          </w:p>
        </w:tc>
      </w:tr>
      <w:tr>
        <w:tc>
          <w:tcPr>
            <w:tcW w:type="dxa" w:w="2448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Tuition class / academy</w:t>
            </w:r>
          </w:p>
        </w:tc>
        <w:tc>
          <w:tcPr>
            <w:tcW w:type="dxa" w:w="2592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Revenue share</w:t>
            </w:r>
          </w:p>
        </w:tc>
        <w:tc>
          <w:tcPr>
            <w:tcW w:type="dxa" w:w="4608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Scales automatically with class revenue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Online course creator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Revenue share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Simple checkout-based commission</w:t>
            </w:r>
          </w:p>
        </w:tc>
      </w:tr>
      <w:tr>
        <w:tc>
          <w:tcPr>
            <w:tcW w:type="dxa" w:w="2448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School</w:t>
            </w:r>
          </w:p>
        </w:tc>
        <w:tc>
          <w:tcPr>
            <w:tcW w:type="dxa" w:w="2592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Fixed per active student</w:t>
            </w:r>
          </w:p>
        </w:tc>
        <w:tc>
          <w:tcPr>
            <w:tcW w:type="dxa" w:w="4608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Predictable monthly budgeting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University / large institute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Fixed or enterprise contract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Volume pricing, integrations and support</w:t>
            </w:r>
          </w:p>
        </w:tc>
      </w:tr>
    </w:tbl>
    <w:p>
      <w:pPr>
        <w:spacing w:after="0"/>
      </w:pPr>
    </w:p>
    <w:p>
      <w:pPr>
        <w:pStyle w:val="Heading1"/>
      </w:pPr>
      <w:r>
        <w:t>2. Revenue-Share Pricing by Market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Market Tier</w:t>
            </w:r>
          </w:p>
        </w:tc>
        <w:tc>
          <w:tcPr>
            <w:tcW w:type="dxa" w:w="1728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Platform Fee</w:t>
            </w:r>
          </w:p>
        </w:tc>
        <w:tc>
          <w:tcPr>
            <w:tcW w:type="dxa" w:w="5040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Positioning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Value / lower-income markets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2.5%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Keep entry cost very low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Lower-middle / emerging markets</w:t>
            </w:r>
          </w:p>
        </w:tc>
        <w:tc>
          <w:tcPr>
            <w:tcW w:type="dxa" w:w="1728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3%</w:t>
            </w:r>
          </w:p>
        </w:tc>
        <w:tc>
          <w:tcPr>
            <w:tcW w:type="dxa" w:w="5040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Affordable standard rate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Upper-middle markets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4%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Higher purchasing power and stronger ARPU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High-income markets</w:t>
            </w:r>
          </w:p>
        </w:tc>
        <w:tc>
          <w:tcPr>
            <w:tcW w:type="dxa" w:w="1728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5%</w:t>
            </w:r>
          </w:p>
        </w:tc>
        <w:tc>
          <w:tcPr>
            <w:tcW w:type="dxa" w:w="5040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Higher willingness to pay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Premium Gulf markets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7%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UAE/Dubai, Qatar, Kuwait, Saudi Arabia and similar premium contracts</w:t>
            </w:r>
          </w:p>
        </w:tc>
      </w:tr>
    </w:tbl>
    <w:p>
      <w:pPr>
        <w:spacing w:after="0"/>
      </w:pPr>
    </w:p>
    <w:p>
      <w:r>
        <w:rPr>
          <w:b/>
        </w:rPr>
        <w:t xml:space="preserve">Important: </w:t>
      </w:r>
      <w:r>
        <w:t>The market tier should be treated as a commercial pricing rule, not as a permanent economic label. Sales teams should be allowed to quote strategic discounts for major customers. Dubai is priced under the UAE/Gulf premium tier.</w:t>
      </w:r>
    </w:p>
    <w:p>
      <w:pPr>
        <w:pStyle w:val="Heading1"/>
      </w:pPr>
      <w:r>
        <w:t>3. How the LMS Applies the Percentage</w:t>
      </w:r>
    </w:p>
    <w:p>
      <w:pPr>
        <w:pStyle w:val="ListBullet"/>
        <w:spacing w:after="60"/>
      </w:pPr>
      <w:r>
        <w:t>The customer sets the class or course fee in the LMS.</w:t>
      </w:r>
    </w:p>
    <w:p>
      <w:pPr>
        <w:pStyle w:val="ListBullet"/>
        <w:spacing w:after="60"/>
      </w:pPr>
      <w:r>
        <w:t>A student pays through the LMS checkout or connected payment gateway.</w:t>
      </w:r>
    </w:p>
    <w:p>
      <w:pPr>
        <w:pStyle w:val="ListBullet"/>
        <w:spacing w:after="60"/>
      </w:pPr>
      <w:r>
        <w:t>The LMS identifies the applicable pricing tier from the customer account/billing country.</w:t>
      </w:r>
    </w:p>
    <w:p>
      <w:pPr>
        <w:pStyle w:val="ListBullet"/>
        <w:spacing w:after="60"/>
      </w:pPr>
      <w:r>
        <w:t>The platform fee is calculated on the collected class/course payment.</w:t>
      </w:r>
    </w:p>
    <w:p>
      <w:pPr>
        <w:pStyle w:val="ListBullet"/>
        <w:spacing w:after="60"/>
      </w:pPr>
      <w:r>
        <w:t>The teacher or academy receives the remaining amount, after agreed platform and payment-processing deductions.</w:t>
      </w:r>
    </w:p>
    <w:p>
      <w:pPr>
        <w:pStyle w:val="ListBullet"/>
        <w:spacing w:after="60"/>
      </w:pPr>
      <w:r>
        <w:t>Refunds should reverse the corresponding platform fee according to the refund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83B56"/>
                <w:sz w:val="21"/>
              </w:rPr>
              <w:t>Core formula</w:t>
              <w:br/>
            </w:r>
            <w:r>
              <w:rPr>
                <w:sz w:val="19"/>
              </w:rPr>
              <w:t>Platform revenue = Paid class/course amount × applicable platform-fee percentage. Example: LKR 5,000 class fee × 2.5% = LKR 125 platform revenue per paid student.</w:t>
            </w:r>
          </w:p>
        </w:tc>
      </w:tr>
    </w:tbl>
    <w:p>
      <w:pPr>
        <w:pStyle w:val="Heading1"/>
      </w:pPr>
      <w:r>
        <w:t>4. School and University Pricing</w:t>
      </w:r>
    </w:p>
    <w:p>
      <w:r>
        <w:t>Schools generally prefer predictable invoices instead of giving a percentage of tuition revenue. For institutional customers, charge a fixed fee per active student per month, with volume discounts for larger deployments.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12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Institution Market</w:t>
            </w:r>
          </w:p>
        </w:tc>
        <w:tc>
          <w:tcPr>
            <w:tcW w:type="dxa" w:w="2160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Reference Price</w:t>
            </w:r>
          </w:p>
        </w:tc>
        <w:tc>
          <w:tcPr>
            <w:tcW w:type="dxa" w:w="4176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Billing Basis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Sri Lanka launch rate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LKR 100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per active student / month</w:t>
            </w:r>
          </w:p>
        </w:tc>
      </w:tr>
      <w:tr>
        <w:tc>
          <w:tcPr>
            <w:tcW w:type="dxa" w:w="3312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Emerging-market reference</w:t>
            </w:r>
          </w:p>
        </w:tc>
        <w:tc>
          <w:tcPr>
            <w:tcW w:type="dxa" w:w="2160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USD 1</w:t>
            </w:r>
          </w:p>
        </w:tc>
        <w:tc>
          <w:tcPr>
            <w:tcW w:type="dxa" w:w="4176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per active student / month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Growth-market reference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USD 2.50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per active student / month</w:t>
            </w:r>
          </w:p>
        </w:tc>
      </w:tr>
      <w:tr>
        <w:tc>
          <w:tcPr>
            <w:tcW w:type="dxa" w:w="3312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Developed-market reference</w:t>
            </w:r>
          </w:p>
        </w:tc>
        <w:tc>
          <w:tcPr>
            <w:tcW w:type="dxa" w:w="2160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USD 5–8</w:t>
            </w:r>
          </w:p>
        </w:tc>
        <w:tc>
          <w:tcPr>
            <w:tcW w:type="dxa" w:w="4176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per active student / month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Premium Gulf reference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up to USD 10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per active student / month or enterprise quote</w:t>
            </w:r>
          </w:p>
        </w:tc>
      </w:tr>
    </w:tbl>
    <w:p>
      <w:pPr>
        <w:spacing w:after="0"/>
      </w:pPr>
    </w:p>
    <w:p>
      <w:pPr>
        <w:pStyle w:val="Heading1"/>
      </w:pPr>
      <w:r>
        <w:t>5. Recommended LMS Billing Logic</w:t>
      </w:r>
    </w:p>
    <w:p>
      <w:pPr>
        <w:pStyle w:val="ListBullet"/>
        <w:spacing w:after="60"/>
      </w:pPr>
      <w:r>
        <w:t>Account type: Teacher / Academy / School / University / Enterprise.</w:t>
      </w:r>
    </w:p>
    <w:p>
      <w:pPr>
        <w:pStyle w:val="ListBullet"/>
        <w:spacing w:after="60"/>
      </w:pPr>
      <w:r>
        <w:t>Country pricing tier stored on the organization account.</w:t>
      </w:r>
    </w:p>
    <w:p>
      <w:pPr>
        <w:pStyle w:val="ListBullet"/>
        <w:spacing w:after="60"/>
      </w:pPr>
      <w:r>
        <w:t>Revenue-share rate automatically applied to eligible checkout transactions.</w:t>
      </w:r>
    </w:p>
    <w:p>
      <w:pPr>
        <w:pStyle w:val="ListBullet"/>
        <w:spacing w:after="60"/>
      </w:pPr>
      <w:r>
        <w:t>Institutional per-student rate applied to active users each billing cycle.</w:t>
      </w:r>
    </w:p>
    <w:p>
      <w:pPr>
        <w:pStyle w:val="ListBullet"/>
        <w:spacing w:after="60"/>
      </w:pPr>
      <w:r>
        <w:t>Admin dashboard shows gross payments, platform fee, gateway fee, refunds and net payout separately.</w:t>
      </w:r>
    </w:p>
    <w:p>
      <w:pPr>
        <w:pStyle w:val="ListBullet"/>
        <w:spacing w:after="60"/>
      </w:pPr>
      <w:r>
        <w:t>Sales/admin users can apply approved contract overrides without changing global pricing rules.</w:t>
      </w:r>
    </w:p>
    <w:p>
      <w:pPr>
        <w:pStyle w:val="Heading1"/>
      </w:pPr>
      <w:r>
        <w:t>6. Commercial Guardrails</w:t>
      </w:r>
    </w:p>
    <w:p>
      <w:pPr>
        <w:pStyle w:val="ListBullet"/>
        <w:spacing w:after="60"/>
      </w:pPr>
      <w:r>
        <w:t>State clearly whether payment-gateway charges are included in or added to the LMS platform fee.</w:t>
      </w:r>
    </w:p>
    <w:p>
      <w:pPr>
        <w:pStyle w:val="ListBullet"/>
        <w:spacing w:after="60"/>
      </w:pPr>
      <w:r>
        <w:t>Define whether tax/VAT/GST is calculated before or after the platform fee, according to local legal and accounting advice.</w:t>
      </w:r>
    </w:p>
    <w:p>
      <w:pPr>
        <w:pStyle w:val="ListBullet"/>
        <w:spacing w:after="60"/>
      </w:pPr>
      <w:r>
        <w:t>Set a minimum transaction fee only where very small class payments make percentage pricing uneconomical.</w:t>
      </w:r>
    </w:p>
    <w:p>
      <w:pPr>
        <w:pStyle w:val="ListBullet"/>
        <w:spacing w:after="60"/>
      </w:pPr>
      <w:r>
        <w:t>Use custom enterprise contracts for very large schools, universities, ministries or national deployments.</w:t>
      </w:r>
    </w:p>
    <w:p>
      <w:pPr>
        <w:pStyle w:val="ListBullet"/>
        <w:spacing w:after="60"/>
      </w:pPr>
      <w:r>
        <w:t>Review market tiers periodically; do not hard-code country economics forever.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5"/>
      </w:rPr>
      <w:t>Commercial concept document • Rates can be adjusted by market, contract size, taxes and payment-processing costs.</w:t>
    </w:r>
  </w:p>
  <w:p>
    <w:pPr>
      <w:jc w:val="right"/>
    </w:pPr>
    <w:r>
      <w:rPr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F75B5"/>
        <w:sz w:val="16"/>
      </w:rPr>
      <w:t>GLOBAL LMS  |  COMMERCIAL PRICING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B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B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B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