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9"/>
        <w:gridCol w:w="5528"/>
        <w:gridCol w:w="2127"/>
        <w:gridCol w:w="2087"/>
        <w:tblGridChange w:id="0">
          <w:tblGrid>
            <w:gridCol w:w="1189"/>
            <w:gridCol w:w="5528"/>
            <w:gridCol w:w="2127"/>
            <w:gridCol w:w="2087"/>
          </w:tblGrid>
        </w:tblGridChange>
      </w:tblGrid>
      <w:tr>
        <w:trPr>
          <w:cantSplit w:val="0"/>
          <w:tblHeader w:val="0"/>
        </w:trPr>
        <w:tc>
          <w:tcPr>
            <w:gridSpan w:val="4"/>
            <w:shd w:fill="c6d9f1"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left="-16"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r>
      <w:tr>
        <w:trPr>
          <w:cantSplit w:val="0"/>
          <w:trHeight w:val="687" w:hRule="atLeast"/>
          <w:tblHeader w:val="0"/>
        </w:trPr>
        <w:tc>
          <w:tcPr>
            <w:gridSpan w:val="4"/>
            <w:shd w:fill="auto" w:val="clear"/>
            <w:vAlign w:val="center"/>
          </w:tcPr>
          <w:p w:rsidR="00000000" w:rsidDel="00000000" w:rsidP="00000000" w:rsidRDefault="00000000" w:rsidRPr="00000000" w14:paraId="0000000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Establecer y definir los aspectos correspondientes para la realización de la revisión por la Dirección al sistema de gestión de seguridad de turismo de aventura-SGSTA de la organización por medio del análisis de la información de entrada y que tenga como resultado la toma de decisiones para mejorar continuamente.</w:t>
            </w:r>
          </w:p>
        </w:tc>
      </w:tr>
      <w:tr>
        <w:trPr>
          <w:cantSplit w:val="0"/>
          <w:tblHeader w:val="0"/>
        </w:trPr>
        <w:tc>
          <w:tcPr>
            <w:gridSpan w:val="4"/>
            <w:shd w:fill="c6d9f1"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16" w:firstLine="16"/>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ALCANCE</w:t>
            </w:r>
          </w:p>
        </w:tc>
      </w:tr>
      <w:tr>
        <w:trPr>
          <w:cantSplit w:val="0"/>
          <w:trHeight w:val="787" w:hRule="atLeast"/>
          <w:tblHeader w:val="0"/>
        </w:trPr>
        <w:tc>
          <w:tcPr>
            <w:gridSpan w:val="4"/>
            <w:shd w:fill="auto" w:val="clear"/>
            <w:vAlign w:val="center"/>
          </w:tcPr>
          <w:p w:rsidR="00000000" w:rsidDel="00000000" w:rsidP="00000000" w:rsidRDefault="00000000" w:rsidRPr="00000000" w14:paraId="0000001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procedimiento aplica para la revisión que realiza la Dirección a todo el Sistema de Gestión de Seguridad de Turismo de Aventura-SGSTA para asegurar su continua idoneidad, adecuación y eficacia, en el periodo objeto de análisis.</w:t>
            </w:r>
          </w:p>
        </w:tc>
      </w:tr>
      <w:tr>
        <w:trPr>
          <w:cantSplit w:val="0"/>
          <w:trHeight w:val="332" w:hRule="atLeast"/>
          <w:tblHeader w:val="0"/>
        </w:trPr>
        <w:tc>
          <w:tcPr>
            <w:gridSpan w:val="4"/>
            <w:shd w:fill="c6d9f1"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16" w:firstLine="16"/>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DEFINICIONES</w:t>
            </w:r>
          </w:p>
        </w:tc>
      </w:tr>
      <w:tr>
        <w:trPr>
          <w:cantSplit w:val="0"/>
          <w:trHeight w:val="670" w:hRule="atLeast"/>
          <w:tblHeader w:val="0"/>
        </w:trPr>
        <w:tc>
          <w:tcPr>
            <w:gridSpan w:val="4"/>
            <w:shd w:fill="auto"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Para la interpretación de este procedimiento tenga en cuenta los siguientes términos: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b w:val="1"/>
                <w:sz w:val="20"/>
                <w:szCs w:val="20"/>
                <w:highlight w:val="yellow"/>
              </w:rPr>
            </w:pPr>
            <w:bookmarkStart w:colFirst="0" w:colLast="0" w:name="_heading=h.gjdgxs" w:id="0"/>
            <w:bookmarkEnd w:id="0"/>
            <w:r w:rsidDel="00000000" w:rsidR="00000000" w:rsidRPr="00000000">
              <w:rPr>
                <w:rFonts w:ascii="Arial" w:cs="Arial" w:eastAsia="Arial" w:hAnsi="Arial"/>
                <w:b w:val="1"/>
                <w:sz w:val="20"/>
                <w:szCs w:val="20"/>
                <w:rtl w:val="0"/>
              </w:rPr>
              <w:t xml:space="preserve">Adecuación. </w:t>
            </w:r>
            <w:r w:rsidDel="00000000" w:rsidR="00000000" w:rsidRPr="00000000">
              <w:rPr>
                <w:rFonts w:ascii="Arial" w:cs="Arial" w:eastAsia="Arial" w:hAnsi="Arial"/>
                <w:sz w:val="20"/>
                <w:szCs w:val="20"/>
                <w:rtl w:val="0"/>
              </w:rPr>
              <w:t xml:space="preserve">Capacidad de los procesos, productos o sistemas para cumplir con los requisitos y expectativas establecidas por normativas, estándares, clientes y otras partes interesadas. Se concentra en determinar si lo que se está haciendo es apropiado y efectivo para cumplir con los requisitos de la NTC-ISO 21101:2020 y del propio SGSTA del PST. Pone énfasis en la conformidad con los estándares y las normativas. (Fuente: Adaptado de la ISO 14001:2015)</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Alta dirección. </w:t>
            </w:r>
            <w:r w:rsidDel="00000000" w:rsidR="00000000" w:rsidRPr="00000000">
              <w:rPr>
                <w:rFonts w:ascii="Arial" w:cs="Arial" w:eastAsia="Arial" w:hAnsi="Arial"/>
                <w:color w:val="000000"/>
                <w:sz w:val="20"/>
                <w:szCs w:val="20"/>
                <w:rtl w:val="0"/>
              </w:rPr>
              <w:t xml:space="preserve">Persona o grupo de personas que dirige y controla una organización al más alto nivel. (</w:t>
            </w:r>
            <w:r w:rsidDel="00000000" w:rsidR="00000000" w:rsidRPr="00000000">
              <w:rPr>
                <w:rFonts w:ascii="Arial" w:cs="Arial" w:eastAsia="Arial" w:hAnsi="Arial"/>
                <w:sz w:val="20"/>
                <w:szCs w:val="20"/>
                <w:rtl w:val="0"/>
              </w:rPr>
              <w:t xml:space="preserve">Fuente: </w:t>
            </w:r>
            <w:r w:rsidDel="00000000" w:rsidR="00000000" w:rsidRPr="00000000">
              <w:rPr>
                <w:rFonts w:ascii="Arial" w:cs="Arial" w:eastAsia="Arial" w:hAnsi="Arial"/>
                <w:color w:val="000000"/>
                <w:sz w:val="20"/>
                <w:szCs w:val="20"/>
                <w:rtl w:val="0"/>
              </w:rPr>
              <w:t xml:space="preserve">NTC-ISO 21101:2020).</w:t>
            </w:r>
          </w:p>
          <w:p w:rsidR="00000000" w:rsidDel="00000000" w:rsidP="00000000" w:rsidRDefault="00000000" w:rsidRPr="00000000" w14:paraId="00000020">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i w:val="1"/>
                <w:color w:val="000000"/>
                <w:sz w:val="20"/>
                <w:szCs w:val="20"/>
              </w:rPr>
            </w:pPr>
            <w:r w:rsidDel="00000000" w:rsidR="00000000" w:rsidRPr="00000000">
              <w:rPr>
                <w:rFonts w:ascii="Arial" w:cs="Arial" w:eastAsia="Arial" w:hAnsi="Arial"/>
                <w:b w:val="1"/>
                <w:color w:val="000000"/>
                <w:sz w:val="20"/>
                <w:szCs w:val="20"/>
                <w:rtl w:val="0"/>
              </w:rPr>
              <w:t xml:space="preserve">Desempeño</w:t>
            </w:r>
            <w:r w:rsidDel="00000000" w:rsidR="00000000" w:rsidRPr="00000000">
              <w:rPr>
                <w:rFonts w:ascii="Arial" w:cs="Arial" w:eastAsia="Arial" w:hAnsi="Arial"/>
                <w:color w:val="000000"/>
                <w:sz w:val="20"/>
                <w:szCs w:val="20"/>
                <w:rtl w:val="0"/>
              </w:rPr>
              <w:t xml:space="preserve">. Resultado medible (</w:t>
            </w:r>
            <w:r w:rsidDel="00000000" w:rsidR="00000000" w:rsidRPr="00000000">
              <w:rPr>
                <w:rFonts w:ascii="Arial" w:cs="Arial" w:eastAsia="Arial" w:hAnsi="Arial"/>
                <w:sz w:val="20"/>
                <w:szCs w:val="20"/>
                <w:rtl w:val="0"/>
              </w:rPr>
              <w:t xml:space="preserve">Fuente: </w:t>
            </w:r>
            <w:r w:rsidDel="00000000" w:rsidR="00000000" w:rsidRPr="00000000">
              <w:rPr>
                <w:rFonts w:ascii="Arial" w:cs="Arial" w:eastAsia="Arial" w:hAnsi="Arial"/>
                <w:color w:val="000000"/>
                <w:sz w:val="20"/>
                <w:szCs w:val="20"/>
                <w:rtl w:val="0"/>
              </w:rPr>
              <w:t xml:space="preserve">NTC-ISO 21101:2020)</w:t>
            </w:r>
            <w:r w:rsidDel="00000000" w:rsidR="00000000" w:rsidRPr="00000000">
              <w:rPr>
                <w:rFonts w:ascii="Arial" w:cs="Arial" w:eastAsia="Arial" w:hAnsi="Arial"/>
                <w:i w:val="1"/>
                <w:color w:val="000000"/>
                <w:sz w:val="20"/>
                <w:szCs w:val="20"/>
                <w:rtl w:val="0"/>
              </w:rPr>
              <w:t xml:space="preserve">.</w:t>
            </w:r>
          </w:p>
          <w:p w:rsidR="00000000" w:rsidDel="00000000" w:rsidP="00000000" w:rsidRDefault="00000000" w:rsidRPr="00000000" w14:paraId="0000002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Eficacia</w:t>
            </w:r>
            <w:r w:rsidDel="00000000" w:rsidR="00000000" w:rsidRPr="00000000">
              <w:rPr>
                <w:rFonts w:ascii="Arial" w:cs="Arial" w:eastAsia="Arial" w:hAnsi="Arial"/>
                <w:color w:val="000000"/>
                <w:sz w:val="20"/>
                <w:szCs w:val="20"/>
                <w:rtl w:val="0"/>
              </w:rPr>
              <w:t xml:space="preserve">. Medida en que se realizan las actividades planificadas y se logran los resultados previstos. (</w:t>
            </w:r>
            <w:r w:rsidDel="00000000" w:rsidR="00000000" w:rsidRPr="00000000">
              <w:rPr>
                <w:rFonts w:ascii="Arial" w:cs="Arial" w:eastAsia="Arial" w:hAnsi="Arial"/>
                <w:sz w:val="20"/>
                <w:szCs w:val="20"/>
                <w:rtl w:val="0"/>
              </w:rPr>
              <w:t xml:space="preserve">Fuente: </w:t>
            </w:r>
            <w:r w:rsidDel="00000000" w:rsidR="00000000" w:rsidRPr="00000000">
              <w:rPr>
                <w:rFonts w:ascii="Arial" w:cs="Arial" w:eastAsia="Arial" w:hAnsi="Arial"/>
                <w:color w:val="000000"/>
                <w:sz w:val="20"/>
                <w:szCs w:val="20"/>
                <w:rtl w:val="0"/>
              </w:rPr>
              <w:t xml:space="preserve">NTC-ISO 21101:2020).</w:t>
            </w:r>
          </w:p>
          <w:p w:rsidR="00000000" w:rsidDel="00000000" w:rsidP="00000000" w:rsidRDefault="00000000" w:rsidRPr="00000000" w14:paraId="00000024">
            <w:pPr>
              <w:spacing w:after="0" w:line="240" w:lineRule="auto"/>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Idoneidad. </w:t>
            </w:r>
            <w:r w:rsidDel="00000000" w:rsidR="00000000" w:rsidRPr="00000000">
              <w:rPr>
                <w:rFonts w:ascii="Arial" w:cs="Arial" w:eastAsia="Arial" w:hAnsi="Arial"/>
                <w:sz w:val="20"/>
                <w:szCs w:val="20"/>
                <w:rtl w:val="0"/>
              </w:rPr>
              <w:t xml:space="preserve">Cuando el SGSTA</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es adecuado, apropiado, apto. (Fuente: Adaptado de la RAE).</w:t>
            </w:r>
          </w:p>
          <w:p w:rsidR="00000000" w:rsidDel="00000000" w:rsidP="00000000" w:rsidRDefault="00000000" w:rsidRPr="00000000" w14:paraId="0000002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Mejora continua. </w:t>
            </w:r>
            <w:r w:rsidDel="00000000" w:rsidR="00000000" w:rsidRPr="00000000">
              <w:rPr>
                <w:rFonts w:ascii="Arial" w:cs="Arial" w:eastAsia="Arial" w:hAnsi="Arial"/>
                <w:color w:val="000000"/>
                <w:sz w:val="20"/>
                <w:szCs w:val="20"/>
                <w:rtl w:val="0"/>
              </w:rPr>
              <w:t xml:space="preserve">Actividad recurrente para mejorar el desempeño (</w:t>
            </w:r>
            <w:r w:rsidDel="00000000" w:rsidR="00000000" w:rsidRPr="00000000">
              <w:rPr>
                <w:rFonts w:ascii="Arial" w:cs="Arial" w:eastAsia="Arial" w:hAnsi="Arial"/>
                <w:sz w:val="20"/>
                <w:szCs w:val="20"/>
                <w:rtl w:val="0"/>
              </w:rPr>
              <w:t xml:space="preserve">Fuente: </w:t>
            </w:r>
            <w:r w:rsidDel="00000000" w:rsidR="00000000" w:rsidRPr="00000000">
              <w:rPr>
                <w:rFonts w:ascii="Arial" w:cs="Arial" w:eastAsia="Arial" w:hAnsi="Arial"/>
                <w:color w:val="000000"/>
                <w:sz w:val="20"/>
                <w:szCs w:val="20"/>
                <w:rtl w:val="0"/>
              </w:rPr>
              <w:t xml:space="preserve">NTC-ISO 21101:2020).</w:t>
            </w:r>
          </w:p>
          <w:p w:rsidR="00000000" w:rsidDel="00000000" w:rsidP="00000000" w:rsidRDefault="00000000" w:rsidRPr="00000000" w14:paraId="00000028">
            <w:pPr>
              <w:spacing w:after="0" w:line="240"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Objetivo. </w:t>
            </w:r>
            <w:r w:rsidDel="00000000" w:rsidR="00000000" w:rsidRPr="00000000">
              <w:rPr>
                <w:rFonts w:ascii="Arial" w:cs="Arial" w:eastAsia="Arial" w:hAnsi="Arial"/>
                <w:color w:val="000000"/>
                <w:sz w:val="20"/>
                <w:szCs w:val="20"/>
                <w:rtl w:val="0"/>
              </w:rPr>
              <w:t xml:space="preserve">Resultado a lograr. </w:t>
            </w:r>
            <w:r w:rsidDel="00000000" w:rsidR="00000000" w:rsidRPr="00000000">
              <w:rPr>
                <w:rFonts w:ascii="Arial" w:cs="Arial" w:eastAsia="Arial" w:hAnsi="Arial"/>
                <w:i w:val="1"/>
                <w:color w:val="000000"/>
                <w:sz w:val="20"/>
                <w:szCs w:val="20"/>
                <w:rtl w:val="0"/>
              </w:rPr>
              <w:t xml:space="preserve">(</w:t>
            </w:r>
            <w:r w:rsidDel="00000000" w:rsidR="00000000" w:rsidRPr="00000000">
              <w:rPr>
                <w:rFonts w:ascii="Arial" w:cs="Arial" w:eastAsia="Arial" w:hAnsi="Arial"/>
                <w:sz w:val="20"/>
                <w:szCs w:val="20"/>
                <w:rtl w:val="0"/>
              </w:rPr>
              <w:t xml:space="preserve">Fuente: </w:t>
            </w:r>
            <w:r w:rsidDel="00000000" w:rsidR="00000000" w:rsidRPr="00000000">
              <w:rPr>
                <w:rFonts w:ascii="Arial" w:cs="Arial" w:eastAsia="Arial" w:hAnsi="Arial"/>
                <w:color w:val="000000"/>
                <w:sz w:val="20"/>
                <w:szCs w:val="20"/>
                <w:rtl w:val="0"/>
              </w:rPr>
              <w:t xml:space="preserve">NTC-ISO 21101:2020).</w:t>
            </w:r>
          </w:p>
          <w:p w:rsidR="00000000" w:rsidDel="00000000" w:rsidP="00000000" w:rsidRDefault="00000000" w:rsidRPr="00000000" w14:paraId="0000002A">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Procedimiento. </w:t>
            </w:r>
            <w:r w:rsidDel="00000000" w:rsidR="00000000" w:rsidRPr="00000000">
              <w:rPr>
                <w:rFonts w:ascii="Arial" w:cs="Arial" w:eastAsia="Arial" w:hAnsi="Arial"/>
                <w:color w:val="000000"/>
                <w:sz w:val="20"/>
                <w:szCs w:val="20"/>
                <w:rtl w:val="0"/>
              </w:rPr>
              <w:t xml:space="preserve">Forma específica de llevar a cabo una actividad o un proceso. (</w:t>
            </w:r>
            <w:r w:rsidDel="00000000" w:rsidR="00000000" w:rsidRPr="00000000">
              <w:rPr>
                <w:rFonts w:ascii="Arial" w:cs="Arial" w:eastAsia="Arial" w:hAnsi="Arial"/>
                <w:sz w:val="20"/>
                <w:szCs w:val="20"/>
                <w:rtl w:val="0"/>
              </w:rPr>
              <w:t xml:space="preserve">Fuente: </w:t>
            </w:r>
            <w:r w:rsidDel="00000000" w:rsidR="00000000" w:rsidRPr="00000000">
              <w:rPr>
                <w:rFonts w:ascii="Arial" w:cs="Arial" w:eastAsia="Arial" w:hAnsi="Arial"/>
                <w:color w:val="000000"/>
                <w:sz w:val="20"/>
                <w:szCs w:val="20"/>
                <w:rtl w:val="0"/>
              </w:rPr>
              <w:t xml:space="preserve">NTC-ISO 21101:2020).</w:t>
            </w:r>
          </w:p>
          <w:p w:rsidR="00000000" w:rsidDel="00000000" w:rsidP="00000000" w:rsidRDefault="00000000" w:rsidRPr="00000000" w14:paraId="0000002C">
            <w:pPr>
              <w:tabs>
                <w:tab w:val="left" w:leader="none" w:pos="720"/>
              </w:tabs>
              <w:spacing w:after="0" w:line="240" w:lineRule="auto"/>
              <w:jc w:val="both"/>
              <w:rPr>
                <w:rFonts w:ascii="Arial" w:cs="Arial" w:eastAsia="Arial" w:hAnsi="Arial"/>
                <w:sz w:val="20"/>
                <w:szCs w:val="20"/>
              </w:rPr>
            </w:pPr>
            <w:r w:rsidDel="00000000" w:rsidR="00000000" w:rsidRPr="00000000">
              <w:rPr>
                <w:rtl w:val="0"/>
              </w:rPr>
            </w:r>
          </w:p>
        </w:tc>
      </w:tr>
      <w:tr>
        <w:trPr>
          <w:cantSplit w:val="0"/>
          <w:trHeight w:val="116" w:hRule="atLeast"/>
          <w:tblHeader w:val="0"/>
        </w:trPr>
        <w:tc>
          <w:tcPr>
            <w:gridSpan w:val="4"/>
            <w:shd w:fill="c6d9f1"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ACLARACIONES</w:t>
            </w:r>
          </w:p>
        </w:tc>
      </w:tr>
      <w:tr>
        <w:trPr>
          <w:cantSplit w:val="0"/>
          <w:trHeight w:val="507" w:hRule="atLeast"/>
          <w:tblHeader w:val="0"/>
        </w:trPr>
        <w:tc>
          <w:tcPr>
            <w:gridSpan w:val="4"/>
            <w:shd w:fill="auto" w:val="clear"/>
            <w:vAlign w:val="center"/>
          </w:tcPr>
          <w:p w:rsidR="00000000" w:rsidDel="00000000" w:rsidP="00000000" w:rsidRDefault="00000000" w:rsidRPr="00000000" w14:paraId="0000003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aplica</w:t>
            </w:r>
          </w:p>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tl w:val="0"/>
              </w:rPr>
            </w:r>
          </w:p>
        </w:tc>
      </w:tr>
      <w:tr>
        <w:trPr>
          <w:cantSplit w:val="0"/>
          <w:tblHeader w:val="0"/>
        </w:trPr>
        <w:tc>
          <w:tcPr>
            <w:gridSpan w:val="4"/>
            <w:shd w:fill="c6d9f1"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ACTIVIDADES</w:t>
            </w:r>
          </w:p>
        </w:tc>
      </w:tr>
      <w:tr>
        <w:trPr>
          <w:cantSplit w:val="0"/>
          <w:tblHeader w:val="0"/>
        </w:trPr>
        <w:tc>
          <w:tcPr>
            <w:shd w:fill="c6d9f1" w:val="clear"/>
            <w:vAlign w:val="center"/>
          </w:tcPr>
          <w:p w:rsidR="00000000" w:rsidDel="00000000" w:rsidP="00000000" w:rsidRDefault="00000000" w:rsidRPr="00000000" w14:paraId="0000003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shd w:fill="c6d9f1" w:val="clear"/>
            <w:vAlign w:val="center"/>
          </w:tcPr>
          <w:p w:rsidR="00000000" w:rsidDel="00000000" w:rsidP="00000000" w:rsidRDefault="00000000" w:rsidRPr="00000000" w14:paraId="0000003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w:t>
            </w:r>
          </w:p>
        </w:tc>
        <w:tc>
          <w:tcPr>
            <w:shd w:fill="c6d9f1" w:val="clear"/>
            <w:vAlign w:val="center"/>
          </w:tcPr>
          <w:p w:rsidR="00000000" w:rsidDel="00000000" w:rsidP="00000000" w:rsidRDefault="00000000" w:rsidRPr="00000000" w14:paraId="0000004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shd w:fill="c6d9f1" w:val="clear"/>
            <w:vAlign w:val="center"/>
          </w:tcPr>
          <w:p w:rsidR="00000000" w:rsidDel="00000000" w:rsidP="00000000" w:rsidRDefault="00000000" w:rsidRPr="00000000" w14:paraId="0000004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REGISTRO</w:t>
            </w:r>
          </w:p>
        </w:tc>
      </w:tr>
      <w:tr>
        <w:trPr>
          <w:cantSplit w:val="0"/>
          <w:trHeight w:val="734" w:hRule="atLeast"/>
          <w:tblHeader w:val="0"/>
        </w:trPr>
        <w:tc>
          <w:tcPr>
            <w:shd w:fill="auto" w:val="clear"/>
            <w:vAlign w:val="center"/>
          </w:tcPr>
          <w:p w:rsidR="00000000" w:rsidDel="00000000" w:rsidP="00000000" w:rsidRDefault="00000000" w:rsidRPr="00000000" w14:paraId="0000004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shd w:fill="auto" w:val="cle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Programación de la revisión por la Dirección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alta dirección determina realizar como mínimo una vez al año la revisión por la dirección al SGSTA.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4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Alta dirección</w:t>
            </w:r>
          </w:p>
        </w:tc>
        <w:tc>
          <w:tcPr>
            <w:shd w:fill="auto" w:val="clear"/>
            <w:vAlign w:val="center"/>
          </w:tcPr>
          <w:p w:rsidR="00000000" w:rsidDel="00000000" w:rsidP="00000000" w:rsidRDefault="00000000" w:rsidRPr="00000000" w14:paraId="0000004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aplica</w:t>
            </w:r>
          </w:p>
        </w:tc>
      </w:tr>
      <w:tr>
        <w:trPr>
          <w:cantSplit w:val="0"/>
          <w:tblHeader w:val="0"/>
        </w:trPr>
        <w:tc>
          <w:tcPr>
            <w:shd w:fill="auto" w:val="clear"/>
            <w:vAlign w:val="center"/>
          </w:tcPr>
          <w:p w:rsidR="00000000" w:rsidDel="00000000" w:rsidP="00000000" w:rsidRDefault="00000000" w:rsidRPr="00000000" w14:paraId="0000004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shd w:fill="auto" w:val="clear"/>
            <w:vAlign w:val="center"/>
          </w:tcPr>
          <w:p w:rsidR="00000000" w:rsidDel="00000000" w:rsidP="00000000" w:rsidRDefault="00000000" w:rsidRPr="00000000" w14:paraId="0000004B">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Preparación de la revisión por la Dirección</w:t>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responsable del sistema de gestión de seguridad de turismo de aventura y/o los líderes de procesos, con anticipación recopilan toda la información de entrada en el formato de revisión por la dirección, en donde se indica que parte de deben diligenciar para realizar la revisión por la dirección y presentarla el día que se realice la reunión.</w:t>
            </w:r>
          </w:p>
          <w:p w:rsidR="00000000" w:rsidDel="00000000" w:rsidP="00000000" w:rsidRDefault="00000000" w:rsidRPr="00000000" w14:paraId="0000004E">
            <w:pPr>
              <w:spacing w:after="0" w:line="240" w:lineRule="auto"/>
              <w:jc w:val="both"/>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4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auto" w:val="clear"/>
            <w:vAlign w:val="center"/>
          </w:tcPr>
          <w:p w:rsidR="00000000" w:rsidDel="00000000" w:rsidP="00000000" w:rsidRDefault="00000000" w:rsidRPr="00000000" w14:paraId="0000005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revisión por la dirección</w:t>
            </w:r>
          </w:p>
          <w:p w:rsidR="00000000" w:rsidDel="00000000" w:rsidP="00000000" w:rsidRDefault="00000000" w:rsidRPr="00000000" w14:paraId="00000051">
            <w:pPr>
              <w:spacing w:after="0" w:line="240" w:lineRule="auto"/>
              <w:jc w:val="center"/>
              <w:rPr>
                <w:rFonts w:ascii="Arial" w:cs="Arial" w:eastAsia="Arial" w:hAnsi="Arial"/>
                <w:sz w:val="20"/>
                <w:szCs w:val="20"/>
              </w:rPr>
            </w:pPr>
            <w:r w:rsidDel="00000000" w:rsidR="00000000" w:rsidRPr="00000000">
              <w:rPr>
                <w:rtl w:val="0"/>
              </w:rPr>
            </w:r>
          </w:p>
        </w:tc>
      </w:tr>
      <w:tr>
        <w:trPr>
          <w:cantSplit w:val="0"/>
          <w:trHeight w:val="703" w:hRule="atLeast"/>
          <w:tblHeader w:val="0"/>
        </w:trPr>
        <w:tc>
          <w:tcPr>
            <w:shd w:fill="ffffff" w:val="clear"/>
            <w:vAlign w:val="center"/>
          </w:tcPr>
          <w:p w:rsidR="00000000" w:rsidDel="00000000" w:rsidP="00000000" w:rsidRDefault="00000000" w:rsidRPr="00000000" w14:paraId="0000005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shd w:fill="ffffff" w:val="clear"/>
            <w:vAlign w:val="center"/>
          </w:tcPr>
          <w:p w:rsidR="00000000" w:rsidDel="00000000" w:rsidP="00000000" w:rsidRDefault="00000000" w:rsidRPr="00000000" w14:paraId="00000053">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Análisis de la información de entrada de la revisión por la dirección.</w:t>
            </w:r>
          </w:p>
          <w:p w:rsidR="00000000" w:rsidDel="00000000" w:rsidP="00000000" w:rsidRDefault="00000000" w:rsidRPr="00000000" w14:paraId="0000005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debe realizar la revisión al del Sistema de Gestión de Seguridad de Turismo de Aventura. En la reunión, los responsables presentan la información requerida, que es la siguiente:</w:t>
            </w:r>
          </w:p>
          <w:p w:rsidR="00000000" w:rsidDel="00000000" w:rsidP="00000000" w:rsidRDefault="00000000" w:rsidRPr="00000000" w14:paraId="0000005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El estado de las acciones de las revisiones por la dirección anteriores (Si aplica);</w:t>
            </w:r>
          </w:p>
          <w:p w:rsidR="00000000" w:rsidDel="00000000" w:rsidP="00000000" w:rsidRDefault="00000000" w:rsidRPr="00000000" w14:paraId="00000058">
            <w:pPr>
              <w:spacing w:after="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los cambios en los asuntos externos e internos que son pertinentes para el </w:t>
            </w:r>
            <w:r w:rsidDel="00000000" w:rsidR="00000000" w:rsidRPr="00000000">
              <w:rPr>
                <w:rFonts w:ascii="Arial" w:cs="Arial" w:eastAsia="Arial" w:hAnsi="Arial"/>
                <w:sz w:val="20"/>
                <w:szCs w:val="20"/>
                <w:rtl w:val="0"/>
              </w:rPr>
              <w:t xml:space="preserve">sistema de gestión de seguridad de turismo de aventura;</w:t>
            </w:r>
          </w:p>
          <w:p w:rsidR="00000000" w:rsidDel="00000000" w:rsidP="00000000" w:rsidRDefault="00000000" w:rsidRPr="00000000" w14:paraId="00000059">
            <w:pPr>
              <w:tabs>
                <w:tab w:val="left" w:leader="none" w:pos="355"/>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información sobre el desempeño en materia de seguridad de turismo de aventura, incluidas las tendencias:</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5"/>
              </w:tabs>
              <w:spacing w:after="0" w:before="0" w:line="240" w:lineRule="auto"/>
              <w:ind w:left="643" w:right="0" w:hanging="360"/>
              <w:jc w:val="both"/>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Las no conformidades y las medidas correctivas;</w:t>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5"/>
              </w:tabs>
              <w:spacing w:after="0" w:before="0" w:line="240" w:lineRule="auto"/>
              <w:ind w:left="643" w:right="0" w:hanging="360"/>
              <w:jc w:val="both"/>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Los resultados del seguimiento y la medición; y</w:t>
            </w:r>
          </w:p>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5"/>
              </w:tabs>
              <w:spacing w:after="0" w:before="0" w:line="240" w:lineRule="auto"/>
              <w:ind w:left="643" w:right="0" w:hanging="360"/>
              <w:jc w:val="both"/>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Los resultados de la </w:t>
            </w:r>
            <w:r w:rsidDel="00000000" w:rsidR="00000000" w:rsidRPr="00000000">
              <w:rPr>
                <w:rFonts w:ascii="Arial" w:cs="Arial" w:eastAsia="Arial" w:hAnsi="Arial"/>
                <w:sz w:val="20"/>
                <w:szCs w:val="20"/>
                <w:rtl w:val="0"/>
              </w:rPr>
              <w:t xml:space="preserve">auditoría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D">
            <w:pPr>
              <w:tabs>
                <w:tab w:val="left" w:leader="none" w:pos="355"/>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Oportunidades de mejora continua. </w:t>
            </w:r>
          </w:p>
          <w:p w:rsidR="00000000" w:rsidDel="00000000" w:rsidP="00000000" w:rsidRDefault="00000000" w:rsidRPr="00000000" w14:paraId="0000005F">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analiza cada uno de los reportes, diligenciando al frente de cada información de entrada el análisis que realizan y propuestas de decisiones según consideren, todo se registra en el formato revisión por la dirección.</w:t>
            </w:r>
          </w:p>
          <w:p w:rsidR="00000000" w:rsidDel="00000000" w:rsidP="00000000" w:rsidRDefault="00000000" w:rsidRPr="00000000" w14:paraId="00000061">
            <w:pPr>
              <w:spacing w:after="0" w:line="240" w:lineRule="auto"/>
              <w:jc w:val="both"/>
              <w:rPr>
                <w:rFonts w:ascii="Arial" w:cs="Arial" w:eastAsia="Arial" w:hAnsi="Arial"/>
                <w:b w:val="1"/>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6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Alta dirección</w:t>
            </w:r>
          </w:p>
          <w:p w:rsidR="00000000" w:rsidDel="00000000" w:rsidP="00000000" w:rsidRDefault="00000000" w:rsidRPr="00000000" w14:paraId="00000063">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p w:rsidR="00000000" w:rsidDel="00000000" w:rsidP="00000000" w:rsidRDefault="00000000" w:rsidRPr="00000000" w14:paraId="00000065">
            <w:pPr>
              <w:spacing w:after="0" w:line="24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6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Evidencias de información de entrada</w:t>
            </w:r>
          </w:p>
          <w:p w:rsidR="00000000" w:rsidDel="00000000" w:rsidP="00000000" w:rsidRDefault="00000000" w:rsidRPr="00000000" w14:paraId="0000006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Revisión por la dirección</w:t>
            </w:r>
          </w:p>
        </w:tc>
      </w:tr>
      <w:tr>
        <w:trPr>
          <w:cantSplit w:val="0"/>
          <w:trHeight w:val="703" w:hRule="atLeast"/>
          <w:tblHeader w:val="0"/>
        </w:trPr>
        <w:tc>
          <w:tcPr>
            <w:shd w:fill="ffffff" w:val="clear"/>
            <w:vAlign w:val="center"/>
          </w:tcPr>
          <w:p w:rsidR="00000000" w:rsidDel="00000000" w:rsidP="00000000" w:rsidRDefault="00000000" w:rsidRPr="00000000" w14:paraId="0000006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shd w:fill="ffffff" w:val="clear"/>
            <w:vAlign w:val="center"/>
          </w:tcPr>
          <w:p w:rsidR="00000000" w:rsidDel="00000000" w:rsidP="00000000" w:rsidRDefault="00000000" w:rsidRPr="00000000" w14:paraId="0000006B">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y toma de decisiones de la revisión por la dirección</w:t>
            </w:r>
          </w:p>
          <w:p w:rsidR="00000000" w:rsidDel="00000000" w:rsidP="00000000" w:rsidRDefault="00000000" w:rsidRPr="00000000" w14:paraId="0000006C">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Después de realizar el análisis, la Alta dirección o el Gerente toman decisiones como resultado de la revisión por la dirección, estas deben incluir decisiones relacionadas con las oportunidades de mejora continua, la necesidad de introducir cambios </w:t>
            </w:r>
            <w:r w:rsidDel="00000000" w:rsidR="00000000" w:rsidRPr="00000000">
              <w:rPr>
                <w:rFonts w:ascii="Arial" w:cs="Arial" w:eastAsia="Arial" w:hAnsi="Arial"/>
                <w:sz w:val="20"/>
                <w:szCs w:val="20"/>
                <w:rtl w:val="0"/>
              </w:rPr>
              <w:t xml:space="preserve">al sistema de gestión de seguridad de turismo de aventura.</w:t>
            </w:r>
          </w:p>
          <w:p w:rsidR="00000000" w:rsidDel="00000000" w:rsidP="00000000" w:rsidRDefault="00000000" w:rsidRPr="00000000" w14:paraId="0000006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estas decisiones se les asignan responsable, tiempo de ejecución  y responsable de seguimiento.</w:t>
            </w:r>
          </w:p>
          <w:p w:rsidR="00000000" w:rsidDel="00000000" w:rsidP="00000000" w:rsidRDefault="00000000" w:rsidRPr="00000000" w14:paraId="00000070">
            <w:pPr>
              <w:spacing w:after="0" w:line="240" w:lineRule="auto"/>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Todo se registra en el formato de revisión por la dirección.</w:t>
            </w:r>
          </w:p>
          <w:p w:rsidR="00000000" w:rsidDel="00000000" w:rsidP="00000000" w:rsidRDefault="00000000" w:rsidRPr="00000000" w14:paraId="00000072">
            <w:pPr>
              <w:spacing w:after="0" w:line="240" w:lineRule="auto"/>
              <w:jc w:val="both"/>
              <w:rPr>
                <w:rFonts w:ascii="Arial" w:cs="Arial" w:eastAsia="Arial" w:hAnsi="Arial"/>
                <w:b w:val="1"/>
                <w:sz w:val="20"/>
                <w:szCs w:val="20"/>
                <w:highlight w:val="white"/>
              </w:rPr>
            </w:pPr>
            <w:r w:rsidDel="00000000" w:rsidR="00000000" w:rsidRPr="00000000">
              <w:rPr>
                <w:rtl w:val="0"/>
              </w:rPr>
            </w:r>
          </w:p>
        </w:tc>
        <w:tc>
          <w:tcPr>
            <w:shd w:fill="ffffff" w:val="clear"/>
            <w:vAlign w:val="center"/>
          </w:tcPr>
          <w:p w:rsidR="00000000" w:rsidDel="00000000" w:rsidP="00000000" w:rsidRDefault="00000000" w:rsidRPr="00000000" w14:paraId="00000073">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Alta dirección</w:t>
            </w:r>
          </w:p>
          <w:p w:rsidR="00000000" w:rsidDel="00000000" w:rsidP="00000000" w:rsidRDefault="00000000" w:rsidRPr="00000000" w14:paraId="00000075">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p w:rsidR="00000000" w:rsidDel="00000000" w:rsidP="00000000" w:rsidRDefault="00000000" w:rsidRPr="00000000" w14:paraId="00000077">
            <w:pPr>
              <w:spacing w:after="0" w:line="240" w:lineRule="auto"/>
              <w:jc w:val="center"/>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7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Revisión por la dirección</w:t>
            </w:r>
          </w:p>
          <w:p w:rsidR="00000000" w:rsidDel="00000000" w:rsidP="00000000" w:rsidRDefault="00000000" w:rsidRPr="00000000" w14:paraId="00000079">
            <w:pPr>
              <w:spacing w:after="0" w:line="240" w:lineRule="auto"/>
              <w:jc w:val="center"/>
              <w:rPr>
                <w:rFonts w:ascii="Arial" w:cs="Arial" w:eastAsia="Arial" w:hAnsi="Arial"/>
                <w:sz w:val="20"/>
                <w:szCs w:val="20"/>
              </w:rPr>
            </w:pPr>
            <w:r w:rsidDel="00000000" w:rsidR="00000000" w:rsidRPr="00000000">
              <w:rPr>
                <w:rtl w:val="0"/>
              </w:rPr>
            </w:r>
          </w:p>
        </w:tc>
      </w:tr>
      <w:tr>
        <w:trPr>
          <w:cantSplit w:val="0"/>
          <w:trHeight w:val="703" w:hRule="atLeast"/>
          <w:tblHeader w:val="0"/>
        </w:trPr>
        <w:tc>
          <w:tcPr>
            <w:shd w:fill="ffffff" w:val="clear"/>
            <w:vAlign w:val="center"/>
          </w:tcPr>
          <w:p w:rsidR="00000000" w:rsidDel="00000000" w:rsidP="00000000" w:rsidRDefault="00000000" w:rsidRPr="00000000" w14:paraId="0000007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w:t>
            </w:r>
          </w:p>
        </w:tc>
        <w:tc>
          <w:tcPr>
            <w:shd w:fill="ffffff" w:val="clear"/>
            <w:vAlign w:val="center"/>
          </w:tcPr>
          <w:p w:rsidR="00000000" w:rsidDel="00000000" w:rsidP="00000000" w:rsidRDefault="00000000" w:rsidRPr="00000000" w14:paraId="0000007B">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Conclusiones</w:t>
            </w:r>
          </w:p>
          <w:p w:rsidR="00000000" w:rsidDel="00000000" w:rsidP="00000000" w:rsidRDefault="00000000" w:rsidRPr="00000000" w14:paraId="0000007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Posterior a plasmar las decisiones tomadas por parte de la Alta dirección, se procede a definir las conclusiones de la revisión por la dirección en cuanto a su adecuación, idoneidad y eficacia. </w:t>
            </w:r>
          </w:p>
          <w:p w:rsidR="00000000" w:rsidDel="00000000" w:rsidP="00000000" w:rsidRDefault="00000000" w:rsidRPr="00000000" w14:paraId="0000007E">
            <w:pPr>
              <w:spacing w:after="0" w:line="240" w:lineRule="auto"/>
              <w:jc w:val="both"/>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7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Alta dirección</w:t>
            </w:r>
          </w:p>
        </w:tc>
        <w:tc>
          <w:tcPr>
            <w:shd w:fill="ffffff" w:val="clear"/>
            <w:vAlign w:val="center"/>
          </w:tcPr>
          <w:p w:rsidR="00000000" w:rsidDel="00000000" w:rsidP="00000000" w:rsidRDefault="00000000" w:rsidRPr="00000000" w14:paraId="0000008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Revisión por la dirección</w:t>
            </w:r>
          </w:p>
          <w:p w:rsidR="00000000" w:rsidDel="00000000" w:rsidP="00000000" w:rsidRDefault="00000000" w:rsidRPr="00000000" w14:paraId="00000081">
            <w:pPr>
              <w:spacing w:after="0" w:line="240" w:lineRule="auto"/>
              <w:jc w:val="center"/>
              <w:rPr>
                <w:rFonts w:ascii="Arial" w:cs="Arial" w:eastAsia="Arial" w:hAnsi="Arial"/>
                <w:sz w:val="20"/>
                <w:szCs w:val="20"/>
              </w:rPr>
            </w:pPr>
            <w:r w:rsidDel="00000000" w:rsidR="00000000" w:rsidRPr="00000000">
              <w:rPr>
                <w:rtl w:val="0"/>
              </w:rPr>
            </w:r>
          </w:p>
        </w:tc>
      </w:tr>
      <w:tr>
        <w:trPr>
          <w:cantSplit w:val="0"/>
          <w:trHeight w:val="1115" w:hRule="atLeast"/>
          <w:tblHeader w:val="0"/>
        </w:trPr>
        <w:tc>
          <w:tcPr>
            <w:shd w:fill="ffffff" w:val="clear"/>
            <w:vAlign w:val="center"/>
          </w:tcPr>
          <w:p w:rsidR="00000000" w:rsidDel="00000000" w:rsidP="00000000" w:rsidRDefault="00000000" w:rsidRPr="00000000" w14:paraId="0000008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w:t>
            </w:r>
          </w:p>
        </w:tc>
        <w:tc>
          <w:tcPr>
            <w:shd w:fill="ffffff" w:val="clear"/>
            <w:vAlign w:val="center"/>
          </w:tcPr>
          <w:p w:rsidR="00000000" w:rsidDel="00000000" w:rsidP="00000000" w:rsidRDefault="00000000" w:rsidRPr="00000000" w14:paraId="00000083">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Comunicar a los responsables de ejecutar las decisiones tomadas</w:t>
            </w:r>
          </w:p>
          <w:p w:rsidR="00000000" w:rsidDel="00000000" w:rsidP="00000000" w:rsidRDefault="00000000" w:rsidRPr="00000000" w14:paraId="0000008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Comunicar al personal implicado los resultados del proceso de revisión y sus compromisos en cuanto a las decisiones establecidas.</w:t>
            </w:r>
          </w:p>
        </w:tc>
        <w:tc>
          <w:tcPr>
            <w:shd w:fill="ffffff" w:val="clear"/>
            <w:vAlign w:val="center"/>
          </w:tcPr>
          <w:p w:rsidR="00000000" w:rsidDel="00000000" w:rsidP="00000000" w:rsidRDefault="00000000" w:rsidRPr="00000000" w14:paraId="0000008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ffffff" w:val="clear"/>
            <w:vAlign w:val="center"/>
          </w:tcPr>
          <w:p w:rsidR="00000000" w:rsidDel="00000000" w:rsidP="00000000" w:rsidRDefault="00000000" w:rsidRPr="00000000" w14:paraId="0000008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 de comunicación</w:t>
            </w:r>
          </w:p>
          <w:p w:rsidR="00000000" w:rsidDel="00000000" w:rsidP="00000000" w:rsidRDefault="00000000" w:rsidRPr="00000000" w14:paraId="00000088">
            <w:pPr>
              <w:spacing w:after="0" w:line="240"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tbl>
      <w:tblPr>
        <w:tblStyle w:val="Table2"/>
        <w:tblW w:w="10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1"/>
        <w:tblGridChange w:id="0">
          <w:tblGrid>
            <w:gridCol w:w="10931"/>
          </w:tblGrid>
        </w:tblGridChange>
      </w:tblGrid>
      <w:tr>
        <w:trPr>
          <w:cantSplit w:val="0"/>
          <w:tblHeader w:val="0"/>
        </w:trPr>
        <w:tc>
          <w:tcPr>
            <w:shd w:fill="c6d9f1"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DIAGRAMA DE FLUJO</w:t>
            </w:r>
          </w:p>
        </w:tc>
      </w:tr>
      <w:tr>
        <w:trPr>
          <w:cantSplit w:val="0"/>
          <w:trHeight w:val="11160" w:hRule="atLeast"/>
          <w:tblHeader w:val="0"/>
        </w:trPr>
        <w:tc>
          <w:tcPr>
            <w:shd w:fill="ffffff" w:val="clear"/>
          </w:tcPr>
          <w:p w:rsidR="00000000" w:rsidDel="00000000" w:rsidP="00000000" w:rsidRDefault="00000000" w:rsidRPr="00000000" w14:paraId="0000008C">
            <w:pPr>
              <w:spacing w:after="0" w:line="240" w:lineRule="auto"/>
              <w:rPr>
                <w:rFonts w:ascii="Arial" w:cs="Arial" w:eastAsia="Arial" w:hAnsi="Arial"/>
                <w:b w:val="1"/>
                <w:color w:val="ffffff"/>
                <w:sz w:val="20"/>
                <w:szCs w:val="20"/>
              </w:rPr>
            </w:pPr>
            <w:r w:rsidDel="00000000" w:rsidR="00000000" w:rsidRPr="00000000">
              <w:rPr>
                <w:rtl w:val="0"/>
              </w:rPr>
            </w:r>
          </w:p>
          <w:p w:rsidR="00000000" w:rsidDel="00000000" w:rsidP="00000000" w:rsidRDefault="00000000" w:rsidRPr="00000000" w14:paraId="0000008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180135" cy="662877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0135" cy="66287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tl w:val="0"/>
        </w:rPr>
      </w:r>
    </w:p>
    <w:sectPr>
      <w:headerReference r:id="rId8" w:type="default"/>
      <w:pgSz w:h="15840" w:w="12240" w:orient="portrait"/>
      <w:pgMar w:bottom="1560"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3"/>
      <w:tblW w:w="11175.0" w:type="dxa"/>
      <w:jc w:val="left"/>
      <w:tblInd w:w="-80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25"/>
      <w:gridCol w:w="2265"/>
      <w:gridCol w:w="4410"/>
      <w:gridCol w:w="2475"/>
      <w:tblGridChange w:id="0">
        <w:tblGrid>
          <w:gridCol w:w="2025"/>
          <w:gridCol w:w="2265"/>
          <w:gridCol w:w="4410"/>
          <w:gridCol w:w="2475"/>
        </w:tblGrid>
      </w:tblGridChange>
    </w:tblGrid>
    <w:tr>
      <w:trPr>
        <w:cantSplit w:val="1"/>
        <w:trHeight w:val="628" w:hRule="atLeast"/>
        <w:tblHeader w:val="0"/>
      </w:trPr>
      <w:tc>
        <w:tcPr>
          <w:vMerge w:val="restart"/>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mallCaps w:val="1"/>
              <w:sz w:val="20"/>
              <w:szCs w:val="20"/>
            </w:rPr>
          </w:pPr>
          <w:r w:rsidDel="00000000" w:rsidR="00000000" w:rsidRPr="00000000">
            <w:rPr>
              <w:rFonts w:ascii="Arial" w:cs="Arial" w:eastAsia="Arial" w:hAnsi="Arial"/>
              <w:b w:val="1"/>
              <w:smallCaps w:val="1"/>
              <w:sz w:val="20"/>
              <w:szCs w:val="20"/>
              <w:rtl w:val="0"/>
            </w:rPr>
            <w:t xml:space="preserve">LOGO DEL PST</w:t>
          </w:r>
        </w:p>
      </w:tc>
      <w:tc>
        <w:tcPr>
          <w:vMerge w:val="restart"/>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PST</w:t>
          </w:r>
        </w:p>
      </w:tc>
      <w:tc>
        <w:tcPr>
          <w:vMerge w:val="restart"/>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DE REVISIÓN POR LA DIRECCIÓN</w:t>
          </w:r>
        </w:p>
      </w:tc>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lvl>
    <w:lvl w:ilvl="1">
      <w:start w:val="1"/>
      <w:numFmt w:val="lowerLetter"/>
      <w:lvlText w:val="%2."/>
      <w:lvlJc w:val="left"/>
      <w:pPr>
        <w:ind w:left="1363" w:hanging="359.9999999999998"/>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C7CB1"/>
    <w:rPr>
      <w:lang w:eastAsia="en-US"/>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nhideWhenUsed w:val="1"/>
    <w:rsid w:val="00B81B1D"/>
    <w:pPr>
      <w:tabs>
        <w:tab w:val="center" w:pos="4419"/>
        <w:tab w:val="right" w:pos="8838"/>
      </w:tabs>
      <w:spacing w:after="0" w:line="240" w:lineRule="auto"/>
    </w:pPr>
  </w:style>
  <w:style w:type="character" w:styleId="EncabezadoCar" w:customStyle="1">
    <w:name w:val="Encabezado Car"/>
    <w:basedOn w:val="Fuentedeprrafopredeter"/>
    <w:link w:val="Encabezado"/>
    <w:rsid w:val="00B81B1D"/>
  </w:style>
  <w:style w:type="paragraph" w:styleId="Piedepgina">
    <w:name w:val="footer"/>
    <w:basedOn w:val="Normal"/>
    <w:link w:val="PiedepginaCar"/>
    <w:uiPriority w:val="99"/>
    <w:unhideWhenUsed w:val="1"/>
    <w:rsid w:val="00B81B1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81B1D"/>
  </w:style>
  <w:style w:type="table" w:styleId="Tablaconcuadrcula">
    <w:name w:val="Table Grid"/>
    <w:basedOn w:val="Tablanormal"/>
    <w:uiPriority w:val="59"/>
    <w:rsid w:val="00B81B1D"/>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B81B1D"/>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B81B1D"/>
    <w:rPr>
      <w:rFonts w:ascii="Tahoma" w:cs="Tahoma" w:hAnsi="Tahoma"/>
      <w:sz w:val="16"/>
      <w:szCs w:val="16"/>
    </w:rPr>
  </w:style>
  <w:style w:type="paragraph" w:styleId="Prrafodelista">
    <w:name w:val="List Paragraph"/>
    <w:basedOn w:val="Normal"/>
    <w:uiPriority w:val="34"/>
    <w:qFormat w:val="1"/>
    <w:rsid w:val="00B81B1D"/>
    <w:pPr>
      <w:ind w:left="720"/>
      <w:contextualSpacing w:val="1"/>
    </w:pPr>
  </w:style>
  <w:style w:type="paragraph" w:styleId="Default" w:customStyle="1">
    <w:name w:val="Default"/>
    <w:rsid w:val="00213920"/>
    <w:pPr>
      <w:autoSpaceDE w:val="0"/>
      <w:autoSpaceDN w:val="0"/>
      <w:adjustRightInd w:val="0"/>
    </w:pPr>
    <w:rPr>
      <w:rFonts w:ascii="Arial" w:cs="Arial" w:hAnsi="Arial"/>
      <w:color w:val="000000"/>
      <w:sz w:val="24"/>
      <w:szCs w:val="24"/>
    </w:rPr>
  </w:style>
  <w:style w:type="character" w:styleId="shorttext" w:customStyle="1">
    <w:name w:val="short_text"/>
    <w:basedOn w:val="Fuentedeprrafopredeter"/>
    <w:rsid w:val="009B291B"/>
  </w:style>
  <w:style w:type="character" w:styleId="hps" w:customStyle="1">
    <w:name w:val="hps"/>
    <w:basedOn w:val="Fuentedeprrafopredeter"/>
    <w:rsid w:val="009B291B"/>
  </w:style>
  <w:style w:type="paragraph" w:styleId="Sinespaciado">
    <w:name w:val="No Spacing"/>
    <w:uiPriority w:val="1"/>
    <w:qFormat w:val="1"/>
    <w:rsid w:val="009B291B"/>
    <w:rPr>
      <w:lang w:eastAsia="en-US" w:val="es-MX"/>
    </w:rPr>
  </w:style>
  <w:style w:type="character" w:styleId="Refdecomentario">
    <w:name w:val="annotation reference"/>
    <w:basedOn w:val="Fuentedeprrafopredeter"/>
    <w:uiPriority w:val="99"/>
    <w:semiHidden w:val="1"/>
    <w:unhideWhenUsed w:val="1"/>
    <w:rsid w:val="00161DDA"/>
    <w:rPr>
      <w:sz w:val="16"/>
      <w:szCs w:val="16"/>
    </w:rPr>
  </w:style>
  <w:style w:type="paragraph" w:styleId="Textocomentario">
    <w:name w:val="annotation text"/>
    <w:basedOn w:val="Normal"/>
    <w:link w:val="TextocomentarioCar"/>
    <w:unhideWhenUsed w:val="1"/>
    <w:rsid w:val="00161DDA"/>
    <w:pPr>
      <w:spacing w:line="240" w:lineRule="auto"/>
    </w:pPr>
    <w:rPr>
      <w:sz w:val="20"/>
      <w:szCs w:val="20"/>
    </w:rPr>
  </w:style>
  <w:style w:type="character" w:styleId="TextocomentarioCar" w:customStyle="1">
    <w:name w:val="Texto comentario Car"/>
    <w:basedOn w:val="Fuentedeprrafopredeter"/>
    <w:link w:val="Textocomentario"/>
    <w:rsid w:val="00161DDA"/>
    <w:rPr>
      <w:lang w:eastAsia="en-US"/>
    </w:rPr>
  </w:style>
  <w:style w:type="paragraph" w:styleId="Asuntodelcomentario">
    <w:name w:val="annotation subject"/>
    <w:basedOn w:val="Textocomentario"/>
    <w:next w:val="Textocomentario"/>
    <w:link w:val="AsuntodelcomentarioCar"/>
    <w:uiPriority w:val="99"/>
    <w:semiHidden w:val="1"/>
    <w:unhideWhenUsed w:val="1"/>
    <w:rsid w:val="00161DDA"/>
    <w:rPr>
      <w:b w:val="1"/>
      <w:bCs w:val="1"/>
    </w:rPr>
  </w:style>
  <w:style w:type="character" w:styleId="AsuntodelcomentarioCar" w:customStyle="1">
    <w:name w:val="Asunto del comentario Car"/>
    <w:basedOn w:val="TextocomentarioCar"/>
    <w:link w:val="Asuntodelcomentario"/>
    <w:uiPriority w:val="99"/>
    <w:semiHidden w:val="1"/>
    <w:rsid w:val="00161DDA"/>
    <w:rPr>
      <w:b w:val="1"/>
      <w:bCs w:val="1"/>
      <w:lang w:eastAsia="en-US"/>
    </w:rPr>
  </w:style>
  <w:style w:type="character" w:styleId="nfasis">
    <w:name w:val="Emphasis"/>
    <w:basedOn w:val="Fuentedeprrafopredeter"/>
    <w:uiPriority w:val="20"/>
    <w:qFormat w:val="1"/>
    <w:rsid w:val="00161DDA"/>
    <w:rPr>
      <w:i w:val="1"/>
      <w:iCs w:val="1"/>
    </w:rPr>
  </w:style>
  <w:style w:type="character" w:styleId="Hipervnculo">
    <w:name w:val="Hyperlink"/>
    <w:basedOn w:val="Fuentedeprrafopredeter"/>
    <w:uiPriority w:val="99"/>
    <w:semiHidden w:val="1"/>
    <w:unhideWhenUsed w:val="1"/>
    <w:rsid w:val="007F5F72"/>
    <w:rPr>
      <w:strike w:val="0"/>
      <w:dstrike w:val="0"/>
      <w:color w:val="bb4b0d"/>
      <w:sz w:val="24"/>
      <w:szCs w:val="24"/>
      <w:u w:val="none"/>
      <w:effect w:val="none"/>
      <w:shd w:color="auto" w:fill="auto" w:val="clear"/>
      <w:vertAlign w:val="baseline"/>
    </w:rPr>
  </w:style>
  <w:style w:type="character" w:styleId="Textoennegrita">
    <w:name w:val="Strong"/>
    <w:basedOn w:val="Fuentedeprrafopredeter"/>
    <w:uiPriority w:val="22"/>
    <w:qFormat w:val="1"/>
    <w:rsid w:val="007F5F72"/>
    <w:rPr>
      <w:b w:val="1"/>
      <w:bCs w:val="1"/>
    </w:rPr>
  </w:style>
  <w:style w:type="paragraph" w:styleId="Textoindependiente">
    <w:name w:val="Body Text"/>
    <w:basedOn w:val="Normal"/>
    <w:link w:val="TextoindependienteCar"/>
    <w:rsid w:val="00DF1DB2"/>
    <w:pPr>
      <w:spacing w:after="0" w:line="240" w:lineRule="auto"/>
      <w:jc w:val="center"/>
    </w:pPr>
    <w:rPr>
      <w:rFonts w:ascii="Arial" w:cs="Arial" w:hAnsi="Arial"/>
      <w:sz w:val="20"/>
      <w:szCs w:val="20"/>
      <w:lang w:val="es-ES"/>
    </w:rPr>
  </w:style>
  <w:style w:type="character" w:styleId="TextoindependienteCar" w:customStyle="1">
    <w:name w:val="Texto independiente Car"/>
    <w:basedOn w:val="Fuentedeprrafopredeter"/>
    <w:link w:val="Textoindependiente"/>
    <w:rsid w:val="00DF1DB2"/>
    <w:rPr>
      <w:rFonts w:ascii="Arial" w:cs="Arial" w:hAnsi="Arial"/>
      <w:lang w:eastAsia="en-US" w:val="es-ES"/>
    </w:rPr>
  </w:style>
  <w:style w:type="paragraph" w:styleId="Textoindependiente21" w:customStyle="1">
    <w:name w:val="Texto independiente 21"/>
    <w:basedOn w:val="Normal"/>
    <w:rsid w:val="0082499B"/>
    <w:pPr>
      <w:overflowPunct w:val="0"/>
      <w:autoSpaceDE w:val="0"/>
      <w:autoSpaceDN w:val="0"/>
      <w:adjustRightInd w:val="0"/>
      <w:spacing w:after="0" w:line="240" w:lineRule="auto"/>
      <w:jc w:val="both"/>
      <w:textAlignment w:val="baseline"/>
    </w:pPr>
    <w:rPr>
      <w:rFonts w:ascii="Arial" w:eastAsia="Times New Roman" w:hAnsi="Arial"/>
      <w:sz w:val="28"/>
      <w:szCs w:val="20"/>
      <w:lang w:eastAsia="es-ES" w:val="es-ES_tradnl"/>
    </w:rPr>
  </w:style>
  <w:style w:type="paragraph" w:styleId="BodyText21" w:customStyle="1">
    <w:name w:val="Body Text 21"/>
    <w:basedOn w:val="Normal"/>
    <w:rsid w:val="0082499B"/>
    <w:pPr>
      <w:overflowPunct w:val="0"/>
      <w:autoSpaceDE w:val="0"/>
      <w:autoSpaceDN w:val="0"/>
      <w:adjustRightInd w:val="0"/>
      <w:spacing w:after="0" w:line="240" w:lineRule="auto"/>
      <w:jc w:val="both"/>
      <w:textAlignment w:val="baseline"/>
    </w:pPr>
    <w:rPr>
      <w:rFonts w:ascii="Arial" w:eastAsia="Times New Roman" w:hAnsi="Arial"/>
      <w:sz w:val="28"/>
      <w:szCs w:val="20"/>
      <w:lang w:eastAsia="es-ES" w:val="es-ES_tradnl"/>
    </w:rPr>
  </w:style>
  <w:style w:type="character" w:styleId="fontstyle01" w:customStyle="1">
    <w:name w:val="fontstyle01"/>
    <w:basedOn w:val="Fuentedeprrafopredeter"/>
    <w:rsid w:val="00446AB8"/>
    <w:rPr>
      <w:rFonts w:ascii="Arial-BoldMT" w:hAnsi="Arial-BoldMT" w:hint="default"/>
      <w:b w:val="1"/>
      <w:bCs w:val="1"/>
      <w:i w:val="0"/>
      <w:iCs w:val="0"/>
      <w:color w:val="000000"/>
      <w:sz w:val="22"/>
      <w:szCs w:val="22"/>
    </w:rPr>
  </w:style>
  <w:style w:type="character" w:styleId="fontstyle21" w:customStyle="1">
    <w:name w:val="fontstyle21"/>
    <w:basedOn w:val="Fuentedeprrafopredeter"/>
    <w:rsid w:val="00446AB8"/>
    <w:rPr>
      <w:rFonts w:ascii="ArialMT" w:hAnsi="ArialMT" w:hint="default"/>
      <w:b w:val="0"/>
      <w:bCs w:val="0"/>
      <w:i w:val="0"/>
      <w:iCs w:val="0"/>
      <w:color w:val="000000"/>
      <w:sz w:val="22"/>
      <w:szCs w:val="22"/>
    </w:rPr>
  </w:style>
  <w:style w:type="character" w:styleId="fontstyle31" w:customStyle="1">
    <w:name w:val="fontstyle31"/>
    <w:basedOn w:val="Fuentedeprrafopredeter"/>
    <w:rsid w:val="00446AB8"/>
    <w:rPr>
      <w:rFonts w:ascii="Arial-ItalicMT" w:hAnsi="Arial-ItalicMT" w:hint="default"/>
      <w:b w:val="0"/>
      <w:bCs w:val="0"/>
      <w:i w:val="1"/>
      <w:iCs w:val="1"/>
      <w:color w:val="000000"/>
      <w:sz w:val="22"/>
      <w:szCs w:val="22"/>
    </w:rPr>
  </w:style>
  <w:style w:type="character" w:styleId="fontstyle11" w:customStyle="1">
    <w:name w:val="fontstyle11"/>
    <w:basedOn w:val="Fuentedeprrafopredeter"/>
    <w:rsid w:val="00446AB8"/>
    <w:rPr>
      <w:rFonts w:ascii="ArialMT" w:hAnsi="ArialMT" w:hint="default"/>
      <w:b w:val="0"/>
      <w:bCs w:val="0"/>
      <w:i w:val="0"/>
      <w:iCs w:val="0"/>
      <w:color w:val="000000"/>
      <w:sz w:val="22"/>
      <w:szCs w:val="22"/>
    </w:rPr>
  </w:style>
  <w:style w:type="paragraph" w:styleId="Revisin">
    <w:name w:val="Revision"/>
    <w:hidden w:val="1"/>
    <w:uiPriority w:val="99"/>
    <w:semiHidden w:val="1"/>
    <w:rsid w:val="005110BD"/>
    <w:rPr>
      <w:lang w:eastAsia="en-U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115.0" w:type="dxa"/>
        <w:right w:w="115.0" w:type="dxa"/>
      </w:tblCellMar>
    </w:tblPr>
  </w:style>
  <w:style w:type="table" w:styleId="a0" w:customStyle="1">
    <w:basedOn w:val="TableNormal2"/>
    <w:tblPr>
      <w:tblStyleRowBandSize w:val="1"/>
      <w:tblStyleColBandSize w:val="1"/>
      <w:tblCellMar>
        <w:left w:w="115.0" w:type="dxa"/>
        <w:right w:w="115.0" w:type="dxa"/>
      </w:tblCellMar>
    </w:tblPr>
  </w:style>
  <w:style w:type="table" w:styleId="a1" w:customStyle="1">
    <w:basedOn w:val="TableNormal2"/>
    <w:tblPr>
      <w:tblStyleRowBandSize w:val="1"/>
      <w:tblStyleColBandSize w:val="1"/>
      <w:tblCellMar>
        <w:left w:w="70.0" w:type="dxa"/>
        <w:right w:w="70.0" w:type="dxa"/>
      </w:tblCellMar>
    </w:tblPr>
  </w:style>
  <w:style w:type="table" w:styleId="a2" w:customStyle="1">
    <w:basedOn w:val="TableNormal2"/>
    <w:tblPr>
      <w:tblStyleRowBandSize w:val="1"/>
      <w:tblStyleColBandSize w:val="1"/>
      <w:tblCellMar>
        <w:left w:w="70.0" w:type="dxa"/>
        <w:right w:w="70.0" w:type="dxa"/>
      </w:tblCellMar>
    </w:tblPr>
  </w:style>
  <w:style w:type="table" w:styleId="a3" w:customStyle="1">
    <w:basedOn w:val="TableNormal2"/>
    <w:tblPr>
      <w:tblStyleRowBandSize w:val="1"/>
      <w:tblStyleColBandSize w:val="1"/>
      <w:tblCellMar>
        <w:left w:w="70.0" w:type="dxa"/>
        <w:right w:w="70.0" w:type="dxa"/>
      </w:tblCellMar>
    </w:tblPr>
  </w:style>
  <w:style w:type="table" w:styleId="a4" w:customStyle="1">
    <w:basedOn w:val="TableNormal2"/>
    <w:tblPr>
      <w:tblStyleRowBandSize w:val="1"/>
      <w:tblStyleColBandSize w:val="1"/>
      <w:tblCellMar>
        <w:left w:w="70.0" w:type="dxa"/>
        <w:right w:w="70.0" w:type="dxa"/>
      </w:tblCellMar>
    </w:tblPr>
  </w:style>
  <w:style w:type="table" w:styleId="a5" w:customStyle="1">
    <w:basedOn w:val="TableNormal2"/>
    <w:tblPr>
      <w:tblStyleRowBandSize w:val="1"/>
      <w:tblStyleColBandSize w:val="1"/>
      <w:tblCellMar>
        <w:left w:w="70.0" w:type="dxa"/>
        <w:right w:w="70.0" w:type="dxa"/>
      </w:tblCellMar>
    </w:tblPr>
  </w:style>
  <w:style w:type="table" w:styleId="a6" w:customStyle="1">
    <w:basedOn w:val="TableNormal2"/>
    <w:tblPr>
      <w:tblStyleRowBandSize w:val="1"/>
      <w:tblStyleColBandSize w:val="1"/>
      <w:tblCellMar>
        <w:left w:w="70.0" w:type="dxa"/>
        <w:right w:w="70.0" w:type="dxa"/>
      </w:tblCellMar>
    </w:tblPr>
  </w:style>
  <w:style w:type="table" w:styleId="a7" w:customStyle="1">
    <w:basedOn w:val="TableNormal2"/>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left w:w="70.0" w:type="dxa"/>
        <w:right w:w="70.0" w:type="dxa"/>
      </w:tblCellMar>
    </w:tblPr>
  </w:style>
  <w:style w:type="table" w:styleId="aa"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lz+LRC43nYJoOkirEigPLc/ww==">CgMxLjAyCGguZ2pkZ3hzOAByITE5blpRSUZxUi05ek5iV25rN3I3cnFvelVSRWhKZ3VQVg==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2024-07-19T19:31:00Z</dcterms:created>
  <dc:creator>ISOLUCIONES</dc:creator>
</cp:coreProperties>
</file>