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6A468" w14:textId="77777777" w:rsidR="0043406D" w:rsidRDefault="0043406D" w:rsidP="00614E8A">
      <w:pPr>
        <w:jc w:val="both"/>
        <w:rPr>
          <w:rFonts w:ascii="Times New Roman" w:hAnsi="Times New Roman" w:cs="Times New Roman"/>
          <w:sz w:val="24"/>
          <w:szCs w:val="24"/>
        </w:rPr>
      </w:pPr>
      <w:r w:rsidRPr="005848AD">
        <w:rPr>
          <w:rFonts w:ascii="Times New Roman" w:hAnsi="Times New Roman" w:cs="Times New Roman"/>
          <w:sz w:val="24"/>
          <w:szCs w:val="24"/>
          <w:lang w:val="en-US"/>
        </w:rPr>
        <w:t>For the purposes of this study, subjective cognitive decline is defined as a self-perceived cognitive decline in cognitively normal people [</w:t>
      </w:r>
      <w:hyperlink r:id="rId4" w:anchor="b31-2712-7672_2022_3_3_45" w:history="1">
        <w:r w:rsidRPr="005848AD">
          <w:rPr>
            <w:rStyle w:val="Hyperlink"/>
            <w:rFonts w:ascii="Times New Roman" w:hAnsi="Times New Roman" w:cs="Times New Roman"/>
            <w:sz w:val="24"/>
            <w:szCs w:val="24"/>
            <w:lang w:val="en-US"/>
          </w:rPr>
          <w:t>31</w:t>
        </w:r>
      </w:hyperlink>
      <w:r w:rsidRPr="005848AD">
        <w:rPr>
          <w:rFonts w:ascii="Times New Roman" w:hAnsi="Times New Roman" w:cs="Times New Roman"/>
          <w:sz w:val="24"/>
          <w:szCs w:val="24"/>
          <w:lang w:val="en-US"/>
        </w:rPr>
        <w:t xml:space="preserve">]. </w:t>
      </w:r>
      <w:commentRangeStart w:id="0"/>
      <w:r w:rsidRPr="005848AD">
        <w:rPr>
          <w:rFonts w:ascii="Times New Roman" w:hAnsi="Times New Roman" w:cs="Times New Roman"/>
          <w:sz w:val="24"/>
          <w:szCs w:val="24"/>
        </w:rPr>
        <w:t>In line with this definition the sample was divided in two subgroups: those who complained about decreased cognitive functions and those who had no cognitive complaints.</w:t>
      </w:r>
      <w:commentRangeEnd w:id="0"/>
      <w:r w:rsidRPr="005848AD">
        <w:rPr>
          <w:rStyle w:val="Kommentarzeichen"/>
          <w:rFonts w:ascii="Times New Roman" w:eastAsia="Calibri" w:hAnsi="Times New Roman" w:cs="Times New Roman"/>
          <w:kern w:val="3"/>
          <w:sz w:val="24"/>
          <w:szCs w:val="24"/>
        </w:rPr>
        <w:commentReference w:id="0"/>
      </w:r>
      <w:r w:rsidRPr="005848AD">
        <w:rPr>
          <w:rFonts w:ascii="Times New Roman" w:hAnsi="Times New Roman" w:cs="Times New Roman"/>
          <w:sz w:val="24"/>
          <w:szCs w:val="24"/>
        </w:rPr>
        <w:t xml:space="preserve"> </w:t>
      </w:r>
    </w:p>
    <w:p w14:paraId="2171DA70" w14:textId="0A1ACCFC" w:rsidR="00614E8A" w:rsidRDefault="00614E8A" w:rsidP="00614E8A">
      <w:pPr>
        <w:jc w:val="both"/>
        <w:rPr>
          <w:b/>
          <w:bCs/>
        </w:rPr>
      </w:pPr>
      <w:r>
        <w:rPr>
          <w:b/>
          <w:bCs/>
        </w:rPr>
        <w:t>Literature</w:t>
      </w:r>
    </w:p>
    <w:p w14:paraId="5D56CF72" w14:textId="5F041744" w:rsidR="00614E8A" w:rsidRDefault="00614E8A" w:rsidP="00614E8A">
      <w:pPr>
        <w:jc w:val="both"/>
        <w:rPr>
          <w:lang w:val="en-US"/>
        </w:rPr>
      </w:pPr>
      <w:r w:rsidRPr="00991352">
        <w:rPr>
          <w:lang w:val="en-US"/>
        </w:rPr>
        <w:t>Birle et al., 2020</w:t>
      </w:r>
    </w:p>
    <w:p w14:paraId="3AFD7E45" w14:textId="29E1EC7E" w:rsidR="00614E8A" w:rsidRDefault="00614E8A" w:rsidP="00614E8A">
      <w:pPr>
        <w:jc w:val="both"/>
        <w:rPr>
          <w:lang w:val="en-US"/>
        </w:rPr>
      </w:pPr>
      <w:r w:rsidRPr="00991352">
        <w:rPr>
          <w:rFonts w:ascii="Times New Roman" w:hAnsi="Times New Roman" w:cs="Times New Roman"/>
          <w:sz w:val="24"/>
          <w:szCs w:val="24"/>
          <w:lang w:val="en-US"/>
        </w:rPr>
        <w:t>Bland et al., 2024</w:t>
      </w:r>
    </w:p>
    <w:p w14:paraId="1650F171" w14:textId="63F2A8EE" w:rsidR="00614E8A" w:rsidRDefault="00614E8A" w:rsidP="00614E8A">
      <w:pPr>
        <w:jc w:val="both"/>
        <w:rPr>
          <w:lang w:val="en-US"/>
        </w:rPr>
      </w:pPr>
      <w:r w:rsidRPr="00991352">
        <w:rPr>
          <w:lang w:val="en-US"/>
        </w:rPr>
        <w:t>Cambridge Cognition, 2015</w:t>
      </w:r>
    </w:p>
    <w:p w14:paraId="6F4792D1" w14:textId="2A1106B9" w:rsidR="00614E8A" w:rsidRDefault="00614E8A" w:rsidP="00614E8A">
      <w:pPr>
        <w:jc w:val="both"/>
        <w:rPr>
          <w:lang w:val="en-US"/>
        </w:rPr>
      </w:pPr>
      <w:r>
        <w:rPr>
          <w:lang w:val="en-US"/>
        </w:rPr>
        <w:t>Ceban et al., 2022</w:t>
      </w:r>
    </w:p>
    <w:p w14:paraId="3ED7A33D" w14:textId="4744C1F2" w:rsidR="00614E8A" w:rsidRDefault="00614E8A" w:rsidP="00614E8A">
      <w:pPr>
        <w:jc w:val="both"/>
        <w:rPr>
          <w:lang w:val="en-US"/>
        </w:rPr>
      </w:pPr>
      <w:r w:rsidRPr="00991352">
        <w:rPr>
          <w:lang w:val="en-US"/>
        </w:rPr>
        <w:t>Eysenck &amp; Brysbaert, 2018</w:t>
      </w:r>
    </w:p>
    <w:p w14:paraId="33D149D1" w14:textId="7F0995C9" w:rsidR="00614E8A" w:rsidRDefault="00614E8A" w:rsidP="00614E8A">
      <w:pPr>
        <w:jc w:val="both"/>
        <w:rPr>
          <w:lang w:val="en-US"/>
        </w:rPr>
      </w:pPr>
      <w:r w:rsidRPr="00991352">
        <w:rPr>
          <w:rFonts w:ascii="Times New Roman" w:hAnsi="Times New Roman" w:cs="Times New Roman"/>
          <w:sz w:val="24"/>
          <w:szCs w:val="24"/>
          <w:lang w:val="en-US"/>
        </w:rPr>
        <w:t>Kwan et al., 2024</w:t>
      </w:r>
    </w:p>
    <w:p w14:paraId="2DF09BAD" w14:textId="0D85C249" w:rsidR="00614E8A" w:rsidRDefault="00614E8A" w:rsidP="00614E8A">
      <w:pPr>
        <w:jc w:val="both"/>
        <w:rPr>
          <w:lang w:val="en-US"/>
        </w:rPr>
      </w:pPr>
      <w:r w:rsidRPr="00991352">
        <w:rPr>
          <w:lang w:val="en-US"/>
        </w:rPr>
        <w:t>Liu, Wang, Xin, Jiang &amp; Meng, 2024</w:t>
      </w:r>
    </w:p>
    <w:p w14:paraId="5F7B1D65" w14:textId="24D39CDC" w:rsidR="00614E8A" w:rsidRDefault="00614E8A" w:rsidP="00614E8A">
      <w:pPr>
        <w:jc w:val="both"/>
        <w:rPr>
          <w:rFonts w:ascii="Times New Roman" w:hAnsi="Times New Roman" w:cs="Times New Roman"/>
          <w:sz w:val="24"/>
          <w:szCs w:val="24"/>
          <w:lang w:val="en-US"/>
        </w:rPr>
      </w:pPr>
      <w:r w:rsidRPr="00991352">
        <w:rPr>
          <w:rFonts w:ascii="Times New Roman" w:hAnsi="Times New Roman" w:cs="Times New Roman"/>
          <w:sz w:val="24"/>
          <w:szCs w:val="24"/>
          <w:lang w:val="en-US"/>
        </w:rPr>
        <w:t>Pais, Ruano, Carvalho &amp; Barros, 2020</w:t>
      </w:r>
    </w:p>
    <w:p w14:paraId="65356628" w14:textId="4C9CFC40" w:rsidR="00614E8A" w:rsidRDefault="00614E8A" w:rsidP="00614E8A">
      <w:pPr>
        <w:jc w:val="both"/>
        <w:rPr>
          <w:rFonts w:ascii="Times New Roman" w:hAnsi="Times New Roman" w:cs="Times New Roman"/>
          <w:sz w:val="24"/>
          <w:szCs w:val="24"/>
          <w:lang w:val="en-US"/>
        </w:rPr>
      </w:pPr>
      <w:r w:rsidRPr="00991352">
        <w:rPr>
          <w:rFonts w:ascii="Times New Roman" w:hAnsi="Times New Roman" w:cs="Times New Roman"/>
          <w:sz w:val="24"/>
          <w:szCs w:val="24"/>
          <w:lang w:val="en-US"/>
        </w:rPr>
        <w:t>Schild, Scharfenberg, Kirchner et al., 2023).</w:t>
      </w:r>
    </w:p>
    <w:p w14:paraId="4DD985F3" w14:textId="310D7219" w:rsidR="00614E8A" w:rsidRDefault="00614E8A" w:rsidP="00614E8A">
      <w:pPr>
        <w:jc w:val="both"/>
        <w:rPr>
          <w:rFonts w:ascii="Times New Roman" w:hAnsi="Times New Roman" w:cs="Times New Roman"/>
          <w:sz w:val="24"/>
          <w:szCs w:val="24"/>
          <w:lang w:val="en-US"/>
        </w:rPr>
      </w:pPr>
      <w:r>
        <w:rPr>
          <w:rFonts w:ascii="Times New Roman" w:hAnsi="Times New Roman" w:cs="Times New Roman"/>
          <w:sz w:val="24"/>
          <w:szCs w:val="24"/>
          <w:lang w:val="en-US"/>
        </w:rPr>
        <w:t>WHO, 2021</w:t>
      </w:r>
    </w:p>
    <w:p w14:paraId="54AD3713" w14:textId="6FA7C7D7" w:rsidR="00614E8A" w:rsidRDefault="00614E8A" w:rsidP="00614E8A">
      <w:pPr>
        <w:jc w:val="both"/>
        <w:rPr>
          <w:rFonts w:ascii="Times New Roman" w:hAnsi="Times New Roman" w:cs="Times New Roman"/>
          <w:sz w:val="24"/>
          <w:szCs w:val="24"/>
          <w:lang w:val="en-US"/>
        </w:rPr>
      </w:pPr>
      <w:r w:rsidRPr="00991352">
        <w:rPr>
          <w:rFonts w:ascii="Times New Roman" w:hAnsi="Times New Roman" w:cs="Times New Roman"/>
          <w:sz w:val="24"/>
          <w:szCs w:val="24"/>
          <w:lang w:val="en-US"/>
        </w:rPr>
        <w:t>Davids et al., 2021</w:t>
      </w:r>
    </w:p>
    <w:p w14:paraId="1C841DA5" w14:textId="3BFB4BFD" w:rsidR="00B3314F" w:rsidRDefault="00B3314F" w:rsidP="00614E8A">
      <w:pPr>
        <w:jc w:val="both"/>
        <w:rPr>
          <w:rFonts w:ascii="Times New Roman" w:hAnsi="Times New Roman" w:cs="Times New Roman"/>
          <w:sz w:val="24"/>
          <w:szCs w:val="24"/>
          <w:lang w:val="en-US"/>
        </w:rPr>
      </w:pPr>
    </w:p>
    <w:p w14:paraId="599E3F87" w14:textId="71940283" w:rsidR="009B3D8C" w:rsidRDefault="009B3D8C" w:rsidP="00614E8A">
      <w:pPr>
        <w:jc w:val="both"/>
        <w:rPr>
          <w:rFonts w:ascii="Times New Roman" w:hAnsi="Times New Roman" w:cs="Times New Roman"/>
          <w:b/>
          <w:bCs/>
          <w:sz w:val="24"/>
          <w:szCs w:val="24"/>
          <w:lang w:val="en-US"/>
        </w:rPr>
      </w:pPr>
      <w:r w:rsidRPr="009B3D8C">
        <w:rPr>
          <w:rFonts w:ascii="Times New Roman" w:hAnsi="Times New Roman" w:cs="Times New Roman"/>
          <w:b/>
          <w:bCs/>
          <w:sz w:val="24"/>
          <w:szCs w:val="24"/>
          <w:lang w:val="en-US"/>
        </w:rPr>
        <w:t>Other factors</w:t>
      </w:r>
    </w:p>
    <w:p w14:paraId="3C5C665C" w14:textId="77777777" w:rsidR="003B05D4" w:rsidRDefault="003B05D4" w:rsidP="003B05D4">
      <w:pPr>
        <w:rPr>
          <w:rFonts w:ascii="Times New Roman" w:hAnsi="Times New Roman"/>
          <w:b/>
          <w:bCs/>
          <w:sz w:val="24"/>
          <w:szCs w:val="24"/>
          <w:lang w:val="en-US"/>
        </w:rPr>
      </w:pPr>
      <w:r>
        <w:rPr>
          <w:rFonts w:ascii="Times New Roman" w:hAnsi="Times New Roman"/>
          <w:b/>
          <w:bCs/>
          <w:sz w:val="24"/>
          <w:szCs w:val="24"/>
          <w:lang w:val="en-US"/>
        </w:rPr>
        <w:t>The role of psychological factors in SCD</w:t>
      </w:r>
    </w:p>
    <w:p w14:paraId="4E2D9605" w14:textId="77777777" w:rsidR="003B05D4" w:rsidRDefault="003B05D4" w:rsidP="003B05D4">
      <w:r>
        <w:rPr>
          <w:rFonts w:ascii="Times New Roman" w:hAnsi="Times New Roman"/>
          <w:sz w:val="24"/>
          <w:szCs w:val="24"/>
          <w:lang w:val="en-US"/>
        </w:rPr>
        <w:t xml:space="preserve">Zamarian et al. (2024) discovered that SCD in everyday situations can be better explained by elevated anxiety and fatigue levels than by objective cognitive performance. In addition to anxiety (Almeria, Cejudo, Sotoca, Deus &amp; Krupinski, 2020; Brück et al., 2019; Costas-Carrera et al., 2022; Hill et al., 2016; Zamarian et al., 2024) and fatigue (Bland et al., 2024; Delgado-Alonso et al., 2023; Zamarian et al., 2024), sleep disturbances (Zamarian et al., 2024) and depressive symptoms (Almeria et al., 2020; Brück et al., 2019; Costas-Carrera et al., 2022; Hill et al., 2016; Zamarian et al., 2024) </w:t>
      </w:r>
      <w:commentRangeStart w:id="1"/>
      <w:r>
        <w:rPr>
          <w:rFonts w:ascii="Times New Roman" w:hAnsi="Times New Roman"/>
          <w:sz w:val="24"/>
          <w:szCs w:val="24"/>
          <w:lang w:val="en-US"/>
        </w:rPr>
        <w:t xml:space="preserve">have been found to be associated with subjective but not objective cognitive decline/impairment </w:t>
      </w:r>
      <w:commentRangeEnd w:id="1"/>
      <w:r>
        <w:rPr>
          <w:rStyle w:val="Kommentarzeichen"/>
        </w:rPr>
        <w:commentReference w:id="1"/>
      </w:r>
      <w:r>
        <w:rPr>
          <w:rFonts w:ascii="Times New Roman" w:hAnsi="Times New Roman"/>
          <w:sz w:val="24"/>
          <w:szCs w:val="24"/>
          <w:lang w:val="en-US"/>
        </w:rPr>
        <w:t>(Henneghan, Lewis, Gill &amp; Kesler, 2022). Conversely, objective cognitive function has been found to be more closely related to perceived stress (Bland et al., 2024).</w:t>
      </w:r>
    </w:p>
    <w:p w14:paraId="45E11316" w14:textId="77777777" w:rsidR="003B05D4" w:rsidRDefault="003B05D4" w:rsidP="003B05D4">
      <w:pPr>
        <w:ind w:firstLine="708"/>
      </w:pPr>
      <w:r>
        <w:rPr>
          <w:rFonts w:ascii="Times New Roman" w:hAnsi="Times New Roman"/>
          <w:sz w:val="24"/>
          <w:szCs w:val="24"/>
          <w:lang w:val="en-US"/>
        </w:rPr>
        <w:t xml:space="preserve">These findings highlight the intricate and often discordant relationship between subjective and objective cognitive performance, as well as their complex interactions with psychological factors such as anxiety, fatigue, sleep disturbances, and depressive symptoms. This complexity is particularly relevant in the context of </w:t>
      </w:r>
      <w:r w:rsidRPr="003B05D4">
        <w:rPr>
          <w:rStyle w:val="Fett"/>
          <w:rFonts w:ascii="Times New Roman" w:hAnsi="Times New Roman"/>
          <w:b w:val="0"/>
          <w:bCs w:val="0"/>
          <w:sz w:val="24"/>
          <w:szCs w:val="24"/>
          <w:lang w:val="en-US"/>
        </w:rPr>
        <w:t xml:space="preserve">PCS, where many patients report persistent cognitive impairment despite normal objective cognitive test </w:t>
      </w:r>
      <w:commentRangeStart w:id="2"/>
      <w:commentRangeStart w:id="3"/>
      <w:r w:rsidRPr="003B05D4">
        <w:rPr>
          <w:rStyle w:val="Fett"/>
          <w:rFonts w:ascii="Times New Roman" w:hAnsi="Times New Roman"/>
          <w:b w:val="0"/>
          <w:bCs w:val="0"/>
          <w:sz w:val="24"/>
          <w:szCs w:val="24"/>
          <w:lang w:val="en-US"/>
        </w:rPr>
        <w:t>results.</w:t>
      </w:r>
      <w:r>
        <w:rPr>
          <w:rFonts w:ascii="Times New Roman" w:hAnsi="Times New Roman"/>
          <w:sz w:val="24"/>
          <w:szCs w:val="24"/>
          <w:lang w:val="en-US"/>
        </w:rPr>
        <w:t xml:space="preserve"> </w:t>
      </w:r>
      <w:commentRangeEnd w:id="2"/>
      <w:r>
        <w:rPr>
          <w:rStyle w:val="CommentReference"/>
        </w:rPr>
        <w:commentReference w:id="2"/>
      </w:r>
      <w:commentRangeEnd w:id="3"/>
      <w:r>
        <w:rPr>
          <w:rStyle w:val="Kommentarzeichen"/>
        </w:rPr>
        <w:commentReference w:id="3"/>
      </w:r>
    </w:p>
    <w:p w14:paraId="56314CCE" w14:textId="77777777" w:rsidR="003B05D4" w:rsidRDefault="003B05D4" w:rsidP="00614E8A">
      <w:pPr>
        <w:jc w:val="both"/>
        <w:rPr>
          <w:rFonts w:ascii="Times New Roman" w:hAnsi="Times New Roman" w:cs="Times New Roman"/>
          <w:b/>
          <w:bCs/>
          <w:sz w:val="24"/>
          <w:szCs w:val="24"/>
          <w:lang w:val="en-US"/>
        </w:rPr>
      </w:pPr>
    </w:p>
    <w:p w14:paraId="61DD5741" w14:textId="2809D733" w:rsidR="00200D2D" w:rsidRPr="00E13ED9" w:rsidRDefault="00200D2D" w:rsidP="00E13ED9">
      <w:pPr>
        <w:spacing w:line="360" w:lineRule="auto"/>
        <w:rPr>
          <w:rFonts w:ascii="Times New Roman" w:hAnsi="Times New Roman" w:cs="Times New Roman"/>
          <w:sz w:val="24"/>
          <w:szCs w:val="24"/>
          <w:lang w:val="en-US"/>
        </w:rPr>
      </w:pPr>
      <w:r>
        <w:lastRenderedPageBreak/>
        <w:t xml:space="preserve">Patients with cognitive impairment within PCS often experience other psychiatric and health-related symptoms. </w:t>
      </w:r>
      <w:r w:rsidRPr="00210A6E">
        <w:rPr>
          <w:lang w:val="da-DK"/>
        </w:rPr>
        <w:t>However, results on associations with anxiety, depression, sleep, and fatigue are inconsistent</w:t>
      </w:r>
      <w:r w:rsidR="003B05D4">
        <w:rPr>
          <w:lang w:val="da-DK"/>
        </w:rPr>
        <w:t xml:space="preserve"> (stolen)</w:t>
      </w:r>
    </w:p>
    <w:p w14:paraId="0C8ACFDD" w14:textId="53463223" w:rsidR="0030152A" w:rsidRPr="00E13ED9" w:rsidRDefault="0030152A" w:rsidP="00E13ED9">
      <w:pPr>
        <w:spacing w:line="360" w:lineRule="auto"/>
        <w:rPr>
          <w:rFonts w:ascii="Times New Roman" w:hAnsi="Times New Roman" w:cs="Times New Roman"/>
          <w:sz w:val="24"/>
          <w:szCs w:val="24"/>
          <w:lang w:val="da-DK"/>
        </w:rPr>
      </w:pPr>
      <w:hyperlink r:id="rId9" w:history="1">
        <w:r w:rsidRPr="005848AD">
          <w:rPr>
            <w:rStyle w:val="name"/>
            <w:rFonts w:ascii="Times New Roman" w:hAnsi="Times New Roman" w:cs="Times New Roman"/>
            <w:sz w:val="24"/>
            <w:szCs w:val="24"/>
            <w:lang w:val="en-US"/>
          </w:rPr>
          <w:t>Gomzyakova</w:t>
        </w:r>
      </w:hyperlink>
      <w:r w:rsidRPr="005848AD">
        <w:rPr>
          <w:rFonts w:ascii="Times New Roman" w:hAnsi="Times New Roman" w:cs="Times New Roman"/>
          <w:sz w:val="24"/>
          <w:szCs w:val="24"/>
          <w:lang w:val="en-US"/>
        </w:rPr>
        <w:t>:</w:t>
      </w:r>
      <w:r w:rsidR="00200D2D">
        <w:rPr>
          <w:rFonts w:ascii="Times New Roman" w:hAnsi="Times New Roman" w:cs="Times New Roman"/>
          <w:sz w:val="24"/>
          <w:szCs w:val="24"/>
          <w:lang w:val="en-US"/>
        </w:rPr>
        <w:t xml:space="preserve"> </w:t>
      </w:r>
      <w:r w:rsidR="00200D2D" w:rsidRPr="005848AD">
        <w:rPr>
          <w:rFonts w:ascii="Times New Roman" w:hAnsi="Times New Roman" w:cs="Times New Roman"/>
          <w:sz w:val="24"/>
          <w:szCs w:val="24"/>
        </w:rPr>
        <w:t>No significant correlations were found between the MoCA score and the levels of anxiety and depression according to HADS (</w:t>
      </w:r>
      <w:r w:rsidR="00200D2D" w:rsidRPr="005848AD">
        <w:rPr>
          <w:rStyle w:val="Hervorhebung"/>
          <w:rFonts w:ascii="Times New Roman" w:hAnsi="Times New Roman" w:cs="Times New Roman"/>
          <w:sz w:val="24"/>
          <w:szCs w:val="24"/>
        </w:rPr>
        <w:t>p</w:t>
      </w:r>
      <w:r w:rsidR="00200D2D" w:rsidRPr="005848AD">
        <w:rPr>
          <w:rFonts w:ascii="Times New Roman" w:hAnsi="Times New Roman" w:cs="Times New Roman"/>
          <w:sz w:val="24"/>
          <w:szCs w:val="24"/>
        </w:rPr>
        <w:t xml:space="preserve"> &gt;0.05) among those who complained of memory and attention loss.</w:t>
      </w:r>
      <w:r w:rsidR="00200D2D">
        <w:rPr>
          <w:rFonts w:ascii="Times New Roman" w:hAnsi="Times New Roman" w:cs="Times New Roman"/>
          <w:sz w:val="24"/>
          <w:szCs w:val="24"/>
        </w:rPr>
        <w:t xml:space="preserve"> </w:t>
      </w:r>
      <w:r w:rsidR="00200D2D" w:rsidRPr="005848AD">
        <w:rPr>
          <w:rFonts w:ascii="Times New Roman" w:hAnsi="Times New Roman" w:cs="Times New Roman"/>
          <w:sz w:val="24"/>
          <w:szCs w:val="24"/>
        </w:rPr>
        <w:t xml:space="preserve">However, no significant correlations were found between the MoCA scores and the anxiety and depression levels. </w:t>
      </w:r>
      <w:r w:rsidR="00200D2D" w:rsidRPr="005848AD">
        <w:rPr>
          <w:rFonts w:ascii="Times New Roman" w:hAnsi="Times New Roman" w:cs="Times New Roman"/>
          <w:sz w:val="24"/>
          <w:szCs w:val="24"/>
          <w:lang w:val="da-DK"/>
        </w:rPr>
        <w:t xml:space="preserve">Group with subjective cognitive decline had higher levels of depression and anxiety. </w:t>
      </w:r>
      <w:r w:rsidR="00200D2D" w:rsidRPr="005848AD">
        <w:rPr>
          <w:rFonts w:ascii="Times New Roman" w:hAnsi="Times New Roman" w:cs="Times New Roman"/>
          <w:sz w:val="24"/>
          <w:szCs w:val="24"/>
        </w:rPr>
        <w:t>According to the obtained results, subjective complaints about cognitive dysfunction in patients of outpatient units during the pandemic are mainly caused by the emotional state rather than the objective decline in cognitive functions</w:t>
      </w:r>
      <w:r w:rsidR="00200D2D">
        <w:t>.</w:t>
      </w:r>
    </w:p>
    <w:p w14:paraId="791AA5F0" w14:textId="1AED914A" w:rsidR="0030152A" w:rsidRPr="0030152A" w:rsidRDefault="0030152A" w:rsidP="0030152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Deng et al. (2021): </w:t>
      </w:r>
      <w:r w:rsidRPr="00454477">
        <w:rPr>
          <w:rFonts w:ascii="Times New Roman" w:hAnsi="Times New Roman" w:cs="Times New Roman"/>
          <w:sz w:val="24"/>
          <w:szCs w:val="24"/>
          <w:lang w:val="en-US"/>
        </w:rPr>
        <w:t>Our results showed that the overall prevalence of depression, anxiety, and sleep disturbances</w:t>
      </w:r>
      <w:r>
        <w:rPr>
          <w:rFonts w:ascii="Times New Roman" w:hAnsi="Times New Roman" w:cs="Times New Roman"/>
          <w:sz w:val="24"/>
          <w:szCs w:val="24"/>
          <w:lang w:val="en-US"/>
        </w:rPr>
        <w:t xml:space="preserve"> </w:t>
      </w:r>
      <w:r w:rsidRPr="00454477">
        <w:rPr>
          <w:rFonts w:ascii="Times New Roman" w:hAnsi="Times New Roman" w:cs="Times New Roman"/>
          <w:sz w:val="24"/>
          <w:szCs w:val="24"/>
          <w:lang w:val="en-US"/>
        </w:rPr>
        <w:t>among COVID-19 patients is 45%, 47%, and 34%,</w:t>
      </w:r>
      <w:r>
        <w:rPr>
          <w:rFonts w:ascii="Times New Roman" w:hAnsi="Times New Roman" w:cs="Times New Roman"/>
          <w:sz w:val="24"/>
          <w:szCs w:val="24"/>
          <w:lang w:val="en-US"/>
        </w:rPr>
        <w:t xml:space="preserve"> </w:t>
      </w:r>
      <w:r w:rsidRPr="00454477">
        <w:rPr>
          <w:rFonts w:ascii="Times New Roman" w:hAnsi="Times New Roman" w:cs="Times New Roman"/>
          <w:sz w:val="24"/>
          <w:szCs w:val="24"/>
          <w:lang w:val="en-US"/>
        </w:rPr>
        <w:t>respectively.</w:t>
      </w:r>
    </w:p>
    <w:p w14:paraId="064DF766" w14:textId="6A7B4227" w:rsidR="009B3D8C" w:rsidRDefault="009B3D8C" w:rsidP="009B3D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Almeria et al. (2020): </w:t>
      </w:r>
      <w:r w:rsidRPr="001E232E">
        <w:rPr>
          <w:rFonts w:ascii="Times New Roman" w:hAnsi="Times New Roman" w:cs="Times New Roman"/>
          <w:sz w:val="24"/>
          <w:szCs w:val="24"/>
          <w:lang w:val="en-US"/>
        </w:rPr>
        <w:t>Anxiety and depression were associated with cognitive complaints, although no impairment was evidenced on neuropsychological</w:t>
      </w:r>
      <w:r>
        <w:rPr>
          <w:rFonts w:ascii="Times New Roman" w:hAnsi="Times New Roman" w:cs="Times New Roman"/>
          <w:sz w:val="24"/>
          <w:szCs w:val="24"/>
          <w:lang w:val="en-US"/>
        </w:rPr>
        <w:t xml:space="preserve"> </w:t>
      </w:r>
      <w:r w:rsidRPr="001E232E">
        <w:rPr>
          <w:rFonts w:ascii="Times New Roman" w:hAnsi="Times New Roman" w:cs="Times New Roman"/>
          <w:sz w:val="24"/>
          <w:szCs w:val="24"/>
          <w:lang w:val="en-US"/>
        </w:rPr>
        <w:t>tests in these patients.</w:t>
      </w:r>
      <w:r>
        <w:rPr>
          <w:rFonts w:ascii="Times New Roman" w:hAnsi="Times New Roman" w:cs="Times New Roman"/>
          <w:sz w:val="24"/>
          <w:szCs w:val="24"/>
          <w:lang w:val="en-US"/>
        </w:rPr>
        <w:t xml:space="preserve"> </w:t>
      </w:r>
    </w:p>
    <w:p w14:paraId="15A5D200" w14:textId="1F0ABD2F" w:rsidR="009B3D8C" w:rsidRDefault="009B3D8C" w:rsidP="009B3D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Premraj et al. (2022): </w:t>
      </w:r>
      <w:r w:rsidRPr="0060430E">
        <w:rPr>
          <w:rFonts w:ascii="Times New Roman" w:hAnsi="Times New Roman" w:cs="Times New Roman"/>
          <w:sz w:val="24"/>
          <w:szCs w:val="24"/>
          <w:lang w:val="en-US"/>
        </w:rPr>
        <w:t>Fatigue,</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cognitive dysfunction (brain fog, memory issues, attention disorder) and</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sleep disturbances were the most prevalent features of neurological/neuropsychiatric post-COVID-19 syndrome, all identified in almost one</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third of patients three months after the onset of acute COVID-19 illness.</w:t>
      </w:r>
    </w:p>
    <w:p w14:paraId="355A96F9" w14:textId="4743160E" w:rsidR="009B3D8C" w:rsidRDefault="009B3D8C" w:rsidP="00614E8A">
      <w:pPr>
        <w:jc w:val="both"/>
      </w:pPr>
      <w:r>
        <w:t>Badinlou et al. (2022): Results showed significant rates of significant depression (55%), anxiety (20.5%), and insomnia (60.9%) in our sample. All post-COVID impairments and fatigue dimensions were significantly associated with depression, anxiety, and insomnia. In conclusion, the current study outlines that individuals with a history of probable or confirmed SARS CoV-2 infection/infections are more likely to suffer from mental health problems.</w:t>
      </w:r>
    </w:p>
    <w:p w14:paraId="0A132131" w14:textId="15A67EC4" w:rsidR="009B3D8C" w:rsidRDefault="009B3D8C" w:rsidP="009B3D8C">
      <w:pPr>
        <w:spacing w:line="360" w:lineRule="auto"/>
      </w:pPr>
      <w:r>
        <w:t xml:space="preserve">Damiano et al. (2022): The present study provides original data highlighting the high prevalence of neuropsychiatric impairment in the long-term outcome of moderate or severe forms of SARS-CoV-2 infection. </w:t>
      </w:r>
      <w:r w:rsidRPr="00E903D4">
        <w:t>we found a high prevalence of psychiatric and cognitive</w:t>
      </w:r>
      <w:r>
        <w:t xml:space="preserve"> impairments following SARS-CoV-2 infection, specifically common mental disorders, depression, anxiety, PTSD, </w:t>
      </w:r>
      <w:bookmarkStart w:id="4" w:name="_Hlk193955709"/>
      <w:r>
        <w:t>executive and attentional cognitive impairments</w:t>
      </w:r>
      <w:bookmarkEnd w:id="4"/>
      <w:r>
        <w:t>. These deficits seem unrelated to psychosocial stressors or clinical risk factors documented in the acute-stage of COVID-19.</w:t>
      </w:r>
    </w:p>
    <w:p w14:paraId="28D10F3C" w14:textId="77777777" w:rsidR="0030152A" w:rsidRPr="00D2570E" w:rsidRDefault="0030152A" w:rsidP="0030152A">
      <w:pPr>
        <w:spacing w:line="360" w:lineRule="auto"/>
      </w:pPr>
      <w:r>
        <w:t xml:space="preserve">Holdsworth et al. (2022): 69% reported </w:t>
      </w:r>
      <w:r>
        <w:rPr>
          <w:rFonts w:ascii="Tahoma" w:hAnsi="Tahoma" w:cs="Tahoma"/>
        </w:rPr>
        <w:t>≥</w:t>
      </w:r>
      <w:r>
        <w:t xml:space="preserve">3 ongoing symptoms. Shortness of breath (61%), fatigue (54%) and cognitive problems (47%) were the most frequent symptoms, 17% met criteria for anxiety and 24% depression. 67% remained below pre-COVID performance status at 24 weeks. A specific, focal cognitive deficit was identified in those with ongoing symptoms of fatigue, poor concentration, </w:t>
      </w:r>
      <w:r>
        <w:lastRenderedPageBreak/>
        <w:t>poor memory, low mood, and anxiety. Symptoms of low mood, anxiety, and sleep disturbance were all described by more than one quarter of all patients.</w:t>
      </w:r>
    </w:p>
    <w:p w14:paraId="63281B2E" w14:textId="77777777" w:rsidR="0030152A" w:rsidRDefault="0030152A" w:rsidP="0030152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Henneghan et al. (2022): </w:t>
      </w:r>
      <w:r w:rsidRPr="00D85E41">
        <w:rPr>
          <w:rFonts w:ascii="Times New Roman" w:hAnsi="Times New Roman" w:cs="Times New Roman"/>
          <w:sz w:val="24"/>
          <w:szCs w:val="24"/>
          <w:lang w:val="en-US"/>
        </w:rPr>
        <w:t>Anxiety, depressive symptoms, fatigue, and sleep disturbance</w:t>
      </w:r>
      <w:r>
        <w:rPr>
          <w:rFonts w:ascii="Times New Roman" w:hAnsi="Times New Roman" w:cs="Times New Roman"/>
          <w:sz w:val="24"/>
          <w:szCs w:val="24"/>
          <w:lang w:val="en-US"/>
        </w:rPr>
        <w:t xml:space="preserve"> </w:t>
      </w:r>
      <w:r w:rsidRPr="00D85E41">
        <w:rPr>
          <w:rFonts w:ascii="Times New Roman" w:hAnsi="Times New Roman" w:cs="Times New Roman"/>
          <w:sz w:val="24"/>
          <w:szCs w:val="24"/>
          <w:lang w:val="en-US"/>
        </w:rPr>
        <w:t>were not associated with objective cognitive impairment but</w:t>
      </w:r>
      <w:r>
        <w:rPr>
          <w:rFonts w:ascii="Times New Roman" w:hAnsi="Times New Roman" w:cs="Times New Roman"/>
          <w:sz w:val="24"/>
          <w:szCs w:val="24"/>
          <w:lang w:val="en-US"/>
        </w:rPr>
        <w:t xml:space="preserve"> </w:t>
      </w:r>
      <w:r w:rsidRPr="00D85E41">
        <w:rPr>
          <w:rFonts w:ascii="Times New Roman" w:hAnsi="Times New Roman" w:cs="Times New Roman"/>
          <w:sz w:val="24"/>
          <w:szCs w:val="24"/>
          <w:lang w:val="en-US"/>
        </w:rPr>
        <w:t>were related to subjective cognitive impairment (p &lt; 0.001).</w:t>
      </w:r>
    </w:p>
    <w:p w14:paraId="2F59F321" w14:textId="77777777" w:rsidR="0030152A" w:rsidRPr="00F45E7B" w:rsidRDefault="0030152A" w:rsidP="009B3D8C">
      <w:pPr>
        <w:spacing w:line="360" w:lineRule="auto"/>
      </w:pPr>
    </w:p>
    <w:p w14:paraId="73B1E10A" w14:textId="77777777" w:rsidR="009B3D8C" w:rsidRPr="009B3D8C" w:rsidRDefault="009B3D8C" w:rsidP="00614E8A">
      <w:pPr>
        <w:jc w:val="both"/>
      </w:pPr>
    </w:p>
    <w:p w14:paraId="51033DBD" w14:textId="46FE4F4B" w:rsidR="009B3D8C" w:rsidRDefault="009B3D8C" w:rsidP="00614E8A">
      <w:pPr>
        <w:jc w:val="both"/>
        <w:rPr>
          <w:rFonts w:ascii="Times New Roman" w:hAnsi="Times New Roman" w:cs="Times New Roman"/>
          <w:b/>
          <w:bCs/>
          <w:sz w:val="24"/>
          <w:szCs w:val="24"/>
          <w:lang w:val="en-US"/>
        </w:rPr>
      </w:pPr>
      <w:r w:rsidRPr="009B3D8C">
        <w:rPr>
          <w:rFonts w:ascii="Times New Roman" w:hAnsi="Times New Roman" w:cs="Times New Roman"/>
          <w:b/>
          <w:bCs/>
          <w:sz w:val="24"/>
          <w:szCs w:val="24"/>
          <w:lang w:val="en-US"/>
        </w:rPr>
        <w:t>Why relevant to investigate subjective cognitive decline further</w:t>
      </w:r>
    </w:p>
    <w:p w14:paraId="2E12084E" w14:textId="58ABFC6E" w:rsidR="00E13ED9" w:rsidRDefault="00E13ED9" w:rsidP="00E13ED9">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As the aging population grows, the prevalence of individuals experiencing SCD continues to rise (Perez et al., 2024). Not only therefore has it gained increasing attention in recent years, but also due to its potential role as a preclinical marker of cognitive impairment, particularly in the context of neurodegenerative diseases such as Alzheimer’s disease (AD) (Jessen et al., 2014). A meta-analysis of longitudinal studies on SCD with a follow-up period of at least four years estimated that 27% of individuals with SCD progressed to MCI of 27 %, while 14% developed dementia (Mitchell et al., 2014).</w:t>
      </w:r>
    </w:p>
    <w:p w14:paraId="6E8004DF" w14:textId="77777777" w:rsidR="00E13ED9" w:rsidRPr="00991352" w:rsidRDefault="00E13ED9" w:rsidP="00E13ED9">
      <w:pPr>
        <w:spacing w:line="360" w:lineRule="auto"/>
        <w:ind w:firstLine="708"/>
        <w:rPr>
          <w:rFonts w:ascii="Times New Roman" w:hAnsi="Times New Roman" w:cs="Times New Roman"/>
          <w:sz w:val="24"/>
          <w:szCs w:val="24"/>
          <w:lang w:val="en-US"/>
        </w:rPr>
      </w:pPr>
      <w:commentRangeStart w:id="5"/>
      <w:r w:rsidRPr="00991352">
        <w:rPr>
          <w:rFonts w:ascii="Times New Roman" w:hAnsi="Times New Roman" w:cs="Times New Roman"/>
          <w:sz w:val="24"/>
          <w:szCs w:val="24"/>
          <w:lang w:val="en-US"/>
        </w:rPr>
        <w:t>In</w:t>
      </w:r>
      <w:commentRangeEnd w:id="5"/>
      <w:r w:rsidRPr="00991352">
        <w:rPr>
          <w:rStyle w:val="CommentReference"/>
          <w:rFonts w:ascii="Times New Roman" w:hAnsi="Times New Roman" w:cs="Times New Roman"/>
          <w:sz w:val="24"/>
          <w:szCs w:val="24"/>
        </w:rPr>
        <w:commentReference w:id="5"/>
      </w:r>
      <w:r w:rsidRPr="00991352">
        <w:rPr>
          <w:rFonts w:ascii="Times New Roman" w:hAnsi="Times New Roman" w:cs="Times New Roman"/>
          <w:sz w:val="24"/>
          <w:szCs w:val="24"/>
          <w:lang w:val="en-US"/>
        </w:rPr>
        <w:t xml:space="preserve"> conclusion, although individuals with SCD perform within normal ranges on neuropsychological tests, they face an increased risk of developing objective cognitive impairment, such as MCI and AD (L i et al., 2022; Numbers et al., 2023; Rivas-</w:t>
      </w:r>
      <w:commentRangeStart w:id="6"/>
      <w:r w:rsidRPr="00991352">
        <w:rPr>
          <w:rFonts w:ascii="Times New Roman" w:hAnsi="Times New Roman" w:cs="Times New Roman"/>
          <w:sz w:val="24"/>
          <w:szCs w:val="24"/>
          <w:lang w:val="en-US"/>
        </w:rPr>
        <w:t xml:space="preserve">Fern´andez </w:t>
      </w:r>
      <w:commentRangeEnd w:id="6"/>
      <w:r w:rsidRPr="00991352">
        <w:rPr>
          <w:rStyle w:val="CommentReference"/>
          <w:rFonts w:ascii="Times New Roman" w:hAnsi="Times New Roman" w:cs="Times New Roman"/>
          <w:sz w:val="24"/>
          <w:szCs w:val="24"/>
        </w:rPr>
        <w:commentReference w:id="6"/>
      </w:r>
      <w:r w:rsidRPr="00991352">
        <w:rPr>
          <w:rFonts w:ascii="Times New Roman" w:hAnsi="Times New Roman" w:cs="Times New Roman"/>
          <w:sz w:val="24"/>
          <w:szCs w:val="24"/>
          <w:lang w:val="en-US"/>
        </w:rPr>
        <w:t>et al., 2023). Therefore, identifying early and reliable biomarkers for the detection of SCD is crucial for maintaining cognitive health and delay or prevent its progression to AD (Abdulrab &amp; Heun, 2008).</w:t>
      </w:r>
    </w:p>
    <w:p w14:paraId="58FFF5A8" w14:textId="1DBD4795" w:rsidR="00E13ED9" w:rsidRPr="00991352" w:rsidRDefault="00E13ED9" w:rsidP="00E13ED9">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Research suggests a link between PCS and increased risk of MCI. Bohlken, Weber, Heller, Michalowsky &amp; Kostev (2022) found that patients diagnosed with COVID-19 had a significantly increased risk of MCI – referred to as mild cognitive disease (MCD) in their study – compared to those with other acute upper respiratory infections. </w:t>
      </w:r>
      <w:commentRangeStart w:id="7"/>
      <w:r w:rsidRPr="00991352">
        <w:rPr>
          <w:rFonts w:ascii="Times New Roman" w:hAnsi="Times New Roman" w:cs="Times New Roman"/>
          <w:sz w:val="24"/>
          <w:szCs w:val="24"/>
          <w:lang w:val="en-US"/>
        </w:rPr>
        <w:t xml:space="preserve">Additionally, Schild et al. (2022) objectively confirmed NCD in around 60% of individuals with PCS with SCD in their study. This is why the context of MCI is </w:t>
      </w:r>
      <w:commentRangeStart w:id="8"/>
      <w:r w:rsidRPr="00991352">
        <w:rPr>
          <w:rFonts w:ascii="Times New Roman" w:hAnsi="Times New Roman" w:cs="Times New Roman"/>
          <w:sz w:val="24"/>
          <w:szCs w:val="24"/>
          <w:lang w:val="en-US"/>
        </w:rPr>
        <w:t>discussed here</w:t>
      </w:r>
      <w:commentRangeEnd w:id="8"/>
      <w:r w:rsidRPr="00991352">
        <w:rPr>
          <w:rStyle w:val="CommentReference"/>
          <w:rFonts w:ascii="Times New Roman" w:hAnsi="Times New Roman" w:cs="Times New Roman"/>
          <w:sz w:val="24"/>
          <w:szCs w:val="24"/>
        </w:rPr>
        <w:commentReference w:id="8"/>
      </w:r>
      <w:r w:rsidRPr="00991352">
        <w:rPr>
          <w:rFonts w:ascii="Times New Roman" w:hAnsi="Times New Roman" w:cs="Times New Roman"/>
          <w:sz w:val="24"/>
          <w:szCs w:val="24"/>
          <w:lang w:val="en-US"/>
        </w:rPr>
        <w:t xml:space="preserve">. </w:t>
      </w:r>
      <w:commentRangeEnd w:id="7"/>
      <w:r w:rsidRPr="00991352">
        <w:rPr>
          <w:rStyle w:val="Kommentarzeichen"/>
          <w:rFonts w:ascii="Times New Roman" w:hAnsi="Times New Roman" w:cs="Times New Roman"/>
          <w:sz w:val="24"/>
          <w:szCs w:val="24"/>
        </w:rPr>
        <w:commentReference w:id="7"/>
      </w:r>
    </w:p>
    <w:p w14:paraId="2534BD46" w14:textId="77777777" w:rsidR="00E13ED9" w:rsidRPr="009B3D8C" w:rsidRDefault="00E13ED9" w:rsidP="00614E8A">
      <w:pPr>
        <w:jc w:val="both"/>
        <w:rPr>
          <w:rFonts w:ascii="Times New Roman" w:hAnsi="Times New Roman" w:cs="Times New Roman"/>
          <w:b/>
          <w:bCs/>
          <w:sz w:val="24"/>
          <w:szCs w:val="24"/>
          <w:lang w:val="en-US"/>
        </w:rPr>
      </w:pPr>
    </w:p>
    <w:p w14:paraId="1A3AE203" w14:textId="010C02B7" w:rsidR="009B3D8C" w:rsidRDefault="009B3D8C" w:rsidP="009B3D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Zhao et al. (2022): </w:t>
      </w:r>
      <w:r w:rsidRPr="00D85E41">
        <w:rPr>
          <w:rFonts w:ascii="Times New Roman" w:hAnsi="Times New Roman" w:cs="Times New Roman"/>
          <w:sz w:val="24"/>
          <w:szCs w:val="24"/>
          <w:lang w:val="en-US"/>
        </w:rPr>
        <w:t>Overall, the findings here show that COVID-19 survivors</w:t>
      </w:r>
      <w:r>
        <w:rPr>
          <w:rFonts w:ascii="Times New Roman" w:hAnsi="Times New Roman" w:cs="Times New Roman"/>
          <w:sz w:val="24"/>
          <w:szCs w:val="24"/>
          <w:lang w:val="en-US"/>
        </w:rPr>
        <w:t xml:space="preserve"> </w:t>
      </w:r>
      <w:r w:rsidRPr="00D85E41">
        <w:rPr>
          <w:rFonts w:ascii="Times New Roman" w:hAnsi="Times New Roman" w:cs="Times New Roman"/>
          <w:sz w:val="24"/>
          <w:szCs w:val="24"/>
          <w:lang w:val="en-US"/>
        </w:rPr>
        <w:t>showed a significant reduction in their ability to sustain attention on a demanding task up to 9 months after</w:t>
      </w:r>
      <w:r>
        <w:rPr>
          <w:rFonts w:ascii="Times New Roman" w:hAnsi="Times New Roman" w:cs="Times New Roman"/>
          <w:sz w:val="24"/>
          <w:szCs w:val="24"/>
          <w:lang w:val="en-US"/>
        </w:rPr>
        <w:t xml:space="preserve"> </w:t>
      </w:r>
      <w:r w:rsidRPr="00D85E41">
        <w:rPr>
          <w:rFonts w:ascii="Times New Roman" w:hAnsi="Times New Roman" w:cs="Times New Roman"/>
          <w:sz w:val="24"/>
          <w:szCs w:val="24"/>
          <w:lang w:val="en-US"/>
        </w:rPr>
        <w:t>COVID-19 infection, along with mild, but significantly</w:t>
      </w:r>
      <w:r>
        <w:rPr>
          <w:rFonts w:ascii="Times New Roman" w:hAnsi="Times New Roman" w:cs="Times New Roman"/>
          <w:sz w:val="24"/>
          <w:szCs w:val="24"/>
          <w:lang w:val="en-US"/>
        </w:rPr>
        <w:t xml:space="preserve"> </w:t>
      </w:r>
      <w:r w:rsidRPr="00D85E41">
        <w:rPr>
          <w:rFonts w:ascii="Times New Roman" w:hAnsi="Times New Roman" w:cs="Times New Roman"/>
          <w:sz w:val="24"/>
          <w:szCs w:val="24"/>
          <w:lang w:val="en-US"/>
        </w:rPr>
        <w:t>worse, episodic memory for up to 6 months</w:t>
      </w:r>
      <w:r>
        <w:rPr>
          <w:rFonts w:ascii="Times New Roman" w:hAnsi="Times New Roman" w:cs="Times New Roman"/>
          <w:sz w:val="24"/>
          <w:szCs w:val="24"/>
          <w:lang w:val="en-US"/>
        </w:rPr>
        <w:t>.</w:t>
      </w:r>
    </w:p>
    <w:bookmarkStart w:id="9" w:name="_Hlk193961560"/>
    <w:p w14:paraId="44D0D682" w14:textId="1AC223A1" w:rsidR="0030152A" w:rsidRDefault="0030152A" w:rsidP="009B3D8C">
      <w:pPr>
        <w:spacing w:line="360" w:lineRule="auto"/>
        <w:rPr>
          <w:rFonts w:ascii="Times New Roman" w:hAnsi="Times New Roman" w:cs="Times New Roman"/>
          <w:sz w:val="24"/>
          <w:szCs w:val="24"/>
          <w:lang w:val="en-US"/>
        </w:rPr>
      </w:pPr>
      <w:r>
        <w:lastRenderedPageBreak/>
        <w:fldChar w:fldCharType="begin"/>
      </w:r>
      <w:r>
        <w:instrText xml:space="preserve"> HYPERLINK "https://pubmed.ncbi.nlm.nih.gov/?term=%22Gomzyakova%20N%22%5BAuthor%5D" </w:instrText>
      </w:r>
      <w:r>
        <w:fldChar w:fldCharType="separate"/>
      </w:r>
      <w:r w:rsidRPr="005848AD">
        <w:rPr>
          <w:rStyle w:val="name"/>
          <w:rFonts w:ascii="Times New Roman" w:hAnsi="Times New Roman" w:cs="Times New Roman"/>
          <w:sz w:val="24"/>
          <w:szCs w:val="24"/>
          <w:lang w:val="en-US"/>
        </w:rPr>
        <w:t>Gomzyakova</w:t>
      </w:r>
      <w:r>
        <w:rPr>
          <w:rStyle w:val="name"/>
          <w:rFonts w:ascii="Times New Roman" w:hAnsi="Times New Roman" w:cs="Times New Roman"/>
          <w:sz w:val="24"/>
          <w:szCs w:val="24"/>
          <w:lang w:val="en-US"/>
        </w:rPr>
        <w:fldChar w:fldCharType="end"/>
      </w:r>
      <w:r w:rsidRPr="005848AD">
        <w:rPr>
          <w:rFonts w:ascii="Times New Roman" w:hAnsi="Times New Roman" w:cs="Times New Roman"/>
          <w:sz w:val="24"/>
          <w:szCs w:val="24"/>
          <w:lang w:val="en-US"/>
        </w:rPr>
        <w:t xml:space="preserve">: </w:t>
      </w:r>
      <w:bookmarkEnd w:id="9"/>
      <w:r w:rsidRPr="005848AD">
        <w:rPr>
          <w:rFonts w:ascii="Times New Roman" w:hAnsi="Times New Roman" w:cs="Times New Roman"/>
          <w:sz w:val="24"/>
          <w:szCs w:val="24"/>
          <w:lang w:val="en-US"/>
        </w:rPr>
        <w:t>Cognitive impairment is one of the main factors that disrupt daily social functioning and quality of life.</w:t>
      </w:r>
    </w:p>
    <w:p w14:paraId="70A458CD" w14:textId="69849436" w:rsidR="009B3D8C" w:rsidRDefault="009B3D8C" w:rsidP="00614E8A">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Blackmon et </w:t>
      </w:r>
      <w:commentRangeStart w:id="10"/>
      <w:r>
        <w:rPr>
          <w:rFonts w:ascii="Times New Roman" w:hAnsi="Times New Roman" w:cs="Times New Roman"/>
          <w:sz w:val="24"/>
          <w:szCs w:val="24"/>
          <w:lang w:val="en-US"/>
        </w:rPr>
        <w:t xml:space="preserve">al. (2022): </w:t>
      </w:r>
      <w:commentRangeEnd w:id="10"/>
      <w:r>
        <w:rPr>
          <w:rStyle w:val="Kommentarzeichen"/>
          <w:rFonts w:ascii="Calibri" w:eastAsia="Calibri" w:hAnsi="Calibri" w:cs="Times New Roman"/>
          <w:kern w:val="3"/>
        </w:rPr>
        <w:commentReference w:id="10"/>
      </w:r>
      <w:r w:rsidRPr="003915F5">
        <w:rPr>
          <w:rFonts w:ascii="Times New Roman" w:hAnsi="Times New Roman" w:cs="Times New Roman"/>
          <w:sz w:val="24"/>
          <w:szCs w:val="24"/>
          <w:lang w:val="en-US"/>
        </w:rPr>
        <w:t>Neurocognitive complaints were common in patients</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recovering from COVID-19 in this series, regardless of</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disease severity; however, the rate of objective impairment was higher in hospitalized patients. These results</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emphasize the importance of assessing both subjective</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and objective complaints in</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determining prevalence of</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cognitive impairment in recovering patients and research</w:t>
      </w:r>
      <w:r>
        <w:rPr>
          <w:rFonts w:ascii="Times New Roman" w:hAnsi="Times New Roman" w:cs="Times New Roman"/>
          <w:sz w:val="24"/>
          <w:szCs w:val="24"/>
          <w:lang w:val="en-US"/>
        </w:rPr>
        <w:t xml:space="preserve"> </w:t>
      </w:r>
      <w:r w:rsidRPr="003915F5">
        <w:rPr>
          <w:rFonts w:ascii="Times New Roman" w:hAnsi="Times New Roman" w:cs="Times New Roman"/>
          <w:sz w:val="24"/>
          <w:szCs w:val="24"/>
          <w:lang w:val="en-US"/>
        </w:rPr>
        <w:t>participants.</w:t>
      </w:r>
    </w:p>
    <w:p w14:paraId="5FF02C6C" w14:textId="31CD5C39" w:rsidR="009B3D8C" w:rsidRDefault="009B3D8C" w:rsidP="009B3D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Premraj et al. (2022): </w:t>
      </w:r>
      <w:r w:rsidRPr="00DA57A0">
        <w:rPr>
          <w:rFonts w:ascii="Times New Roman" w:hAnsi="Times New Roman" w:cs="Times New Roman"/>
          <w:sz w:val="24"/>
          <w:szCs w:val="24"/>
          <w:lang w:val="en-US"/>
        </w:rPr>
        <w:t>The prevalence of neurological and neuropsychiatric symptoms of</w:t>
      </w:r>
      <w:r>
        <w:rPr>
          <w:rFonts w:ascii="Times New Roman" w:hAnsi="Times New Roman" w:cs="Times New Roman"/>
          <w:sz w:val="24"/>
          <w:szCs w:val="24"/>
          <w:lang w:val="en-US"/>
        </w:rPr>
        <w:t xml:space="preserve"> </w:t>
      </w:r>
      <w:r w:rsidRPr="00DA57A0">
        <w:rPr>
          <w:rFonts w:ascii="Times New Roman" w:hAnsi="Times New Roman" w:cs="Times New Roman"/>
          <w:sz w:val="24"/>
          <w:szCs w:val="24"/>
          <w:lang w:val="en-US"/>
        </w:rPr>
        <w:t>post-COVID-19 syndrome were higher when assessed at or beyond six</w:t>
      </w:r>
      <w:r>
        <w:rPr>
          <w:rFonts w:ascii="Times New Roman" w:hAnsi="Times New Roman" w:cs="Times New Roman"/>
          <w:sz w:val="24"/>
          <w:szCs w:val="24"/>
          <w:lang w:val="en-US"/>
        </w:rPr>
        <w:t xml:space="preserve"> </w:t>
      </w:r>
      <w:r w:rsidRPr="00DA57A0">
        <w:rPr>
          <w:rFonts w:ascii="Times New Roman" w:hAnsi="Times New Roman" w:cs="Times New Roman"/>
          <w:sz w:val="24"/>
          <w:szCs w:val="24"/>
          <w:lang w:val="en-US"/>
        </w:rPr>
        <w:t>months (long-term) than when assessed between three and six months</w:t>
      </w:r>
      <w:r>
        <w:rPr>
          <w:rFonts w:ascii="Times New Roman" w:hAnsi="Times New Roman" w:cs="Times New Roman"/>
          <w:sz w:val="24"/>
          <w:szCs w:val="24"/>
          <w:lang w:val="en-US"/>
        </w:rPr>
        <w:t xml:space="preserve"> </w:t>
      </w:r>
      <w:r w:rsidRPr="00DA57A0">
        <w:rPr>
          <w:rFonts w:ascii="Times New Roman" w:hAnsi="Times New Roman" w:cs="Times New Roman"/>
          <w:sz w:val="24"/>
          <w:szCs w:val="24"/>
          <w:lang w:val="en-US"/>
        </w:rPr>
        <w:t>(mid-term).</w:t>
      </w:r>
      <w:r>
        <w:rPr>
          <w:rFonts w:ascii="Times New Roman" w:hAnsi="Times New Roman" w:cs="Times New Roman"/>
          <w:sz w:val="24"/>
          <w:szCs w:val="24"/>
          <w:lang w:val="en-US"/>
        </w:rPr>
        <w:t xml:space="preserve"> </w:t>
      </w:r>
      <w:bookmarkStart w:id="11" w:name="_Hlk193961074"/>
      <w:r w:rsidRPr="0060430E">
        <w:rPr>
          <w:rFonts w:ascii="Times New Roman" w:hAnsi="Times New Roman" w:cs="Times New Roman"/>
          <w:sz w:val="24"/>
          <w:szCs w:val="24"/>
          <w:lang w:val="en-US"/>
        </w:rPr>
        <w:t>Fatigue,</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cognitive dysfunction (brain fog, memory issues, attention disorder) and</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sleep disturbances were the most prevalent features of neurological/neuropsychiatric post-COVID-19 syndrome, all identified in almost one</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third of patients three months after the onset of acute COVID-19 illness.</w:t>
      </w:r>
      <w:bookmarkEnd w:id="11"/>
      <w:r w:rsidRPr="0060430E">
        <w:rPr>
          <w:rFonts w:ascii="Times New Roman" w:hAnsi="Times New Roman" w:cs="Times New Roman"/>
          <w:sz w:val="24"/>
          <w:szCs w:val="24"/>
          <w:lang w:val="en-US"/>
        </w:rPr>
        <w:t xml:space="preserve"> Interestingly, these symptoms persisted and were even more</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common long-term (six or more months post infection) than when</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assessed mid-term (three to six months)</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Persistent symptoms may arise from a combination of biological and</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psychological mechanisms. For example, SARS-CoV-2 RNA may remain</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in brain tissue long-term, worsening neuronal loss over time [4,34–36].</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Moreover, innate immune cell entry secondary to blood brain barrier</w:t>
      </w:r>
      <w:r>
        <w:rPr>
          <w:rFonts w:ascii="Times New Roman" w:hAnsi="Times New Roman" w:cs="Times New Roman"/>
          <w:sz w:val="24"/>
          <w:szCs w:val="24"/>
          <w:lang w:val="en-US"/>
        </w:rPr>
        <w:t xml:space="preserve"> </w:t>
      </w:r>
      <w:r w:rsidRPr="0060430E">
        <w:rPr>
          <w:rFonts w:ascii="Times New Roman" w:hAnsi="Times New Roman" w:cs="Times New Roman"/>
          <w:sz w:val="24"/>
          <w:szCs w:val="24"/>
          <w:lang w:val="en-US"/>
        </w:rPr>
        <w:t>dysfunction may prolong neuro-inflammation [34,37]</w:t>
      </w:r>
      <w:r>
        <w:rPr>
          <w:rFonts w:ascii="Times New Roman" w:hAnsi="Times New Roman" w:cs="Times New Roman"/>
          <w:sz w:val="24"/>
          <w:szCs w:val="24"/>
          <w:lang w:val="en-US"/>
        </w:rPr>
        <w:t>.</w:t>
      </w:r>
    </w:p>
    <w:p w14:paraId="76E8DF0F" w14:textId="77777777" w:rsidR="009B3D8C" w:rsidRDefault="009B3D8C" w:rsidP="009B3D8C">
      <w:pPr>
        <w:spacing w:line="360" w:lineRule="auto"/>
        <w:rPr>
          <w:rFonts w:ascii="Times New Roman" w:hAnsi="Times New Roman" w:cs="Times New Roman"/>
          <w:sz w:val="24"/>
          <w:szCs w:val="24"/>
          <w:lang w:val="en-US"/>
        </w:rPr>
      </w:pPr>
      <w:r>
        <w:t xml:space="preserve">In their recent study, </w:t>
      </w:r>
      <w:hyperlink r:id="rId10" w:anchor="c73" w:history="1">
        <w:r>
          <w:rPr>
            <w:rStyle w:val="Hyperlink"/>
          </w:rPr>
          <w:t>Schild et al. (2023</w:t>
        </w:r>
      </w:hyperlink>
      <w:r>
        <w:t>) highlighted the challenges encountered in assessing cognitive deficits in patients with PCS necessitating a comprehensive and individualized analysis of both subjective complaints and objective impairment as well as their discrepancies. However, some sequelae of intensive care treatment may still escape these testing approaches, and certain persistent problems cannot be detected without psychophysiological methods. This suggests encouraging the use of additional neuropsychophysiological methods in specific patient groups.</w:t>
      </w:r>
    </w:p>
    <w:p w14:paraId="5EC235FD" w14:textId="77777777" w:rsidR="009B3D8C" w:rsidRDefault="009B3D8C" w:rsidP="009B3D8C">
      <w:pPr>
        <w:spacing w:line="360" w:lineRule="auto"/>
      </w:pPr>
      <w:r>
        <w:t>There is agreement that subjective impairments should be taken seriously, and that changes in experience and behavior not apparent to the clinician should be examined, evaluated, and documented.</w:t>
      </w:r>
    </w:p>
    <w:p w14:paraId="5B9E0858" w14:textId="77777777" w:rsidR="009B3D8C" w:rsidRDefault="009B3D8C" w:rsidP="009B3D8C">
      <w:pPr>
        <w:spacing w:line="360" w:lineRule="auto"/>
      </w:pPr>
      <w:r>
        <w:t>Long-term neurological disorders associated with PCS may involve encephalopathy, cerebral dysregulation, and ischemic stroke (</w:t>
      </w:r>
      <w:hyperlink r:id="rId11" w:anchor="c34" w:history="1">
        <w:r>
          <w:rPr>
            <w:rStyle w:val="Hyperlink"/>
          </w:rPr>
          <w:t>Hingorani et al., 2022</w:t>
        </w:r>
      </w:hyperlink>
      <w:r>
        <w:t>).</w:t>
      </w:r>
    </w:p>
    <w:p w14:paraId="2E57BC8B" w14:textId="77777777" w:rsidR="009B3D8C" w:rsidRDefault="009B3D8C" w:rsidP="009B3D8C">
      <w:pPr>
        <w:spacing w:line="360" w:lineRule="auto"/>
        <w:rPr>
          <w:rFonts w:ascii="Times New Roman" w:hAnsi="Times New Roman" w:cs="Times New Roman"/>
          <w:sz w:val="24"/>
          <w:szCs w:val="24"/>
          <w:lang w:val="en-US"/>
        </w:rPr>
      </w:pPr>
    </w:p>
    <w:p w14:paraId="1E36C8F1" w14:textId="09996FBB" w:rsidR="009B3D8C" w:rsidRDefault="009B3D8C" w:rsidP="00614E8A">
      <w:pPr>
        <w:jc w:val="both"/>
        <w:rPr>
          <w:rFonts w:ascii="Times New Roman" w:hAnsi="Times New Roman" w:cs="Times New Roman"/>
          <w:sz w:val="24"/>
          <w:szCs w:val="24"/>
          <w:lang w:val="en-US"/>
        </w:rPr>
      </w:pPr>
    </w:p>
    <w:p w14:paraId="5E601241" w14:textId="26A91FBB" w:rsidR="0030152A" w:rsidRDefault="0030152A" w:rsidP="00614E8A">
      <w:pPr>
        <w:jc w:val="both"/>
        <w:rPr>
          <w:rFonts w:ascii="Times New Roman" w:hAnsi="Times New Roman" w:cs="Times New Roman"/>
          <w:sz w:val="24"/>
          <w:szCs w:val="24"/>
          <w:lang w:val="en-US"/>
        </w:rPr>
      </w:pPr>
    </w:p>
    <w:p w14:paraId="413313CA" w14:textId="5F8AF177" w:rsidR="0030152A" w:rsidRDefault="0030152A" w:rsidP="00614E8A">
      <w:pPr>
        <w:jc w:val="both"/>
        <w:rPr>
          <w:rFonts w:ascii="Times New Roman" w:hAnsi="Times New Roman" w:cs="Times New Roman"/>
          <w:sz w:val="24"/>
          <w:szCs w:val="24"/>
          <w:lang w:val="en-US"/>
        </w:rPr>
      </w:pPr>
    </w:p>
    <w:p w14:paraId="705E4E33" w14:textId="6CEAF0E9" w:rsidR="0030152A" w:rsidRDefault="0030152A" w:rsidP="00614E8A">
      <w:pPr>
        <w:jc w:val="both"/>
        <w:rPr>
          <w:rFonts w:ascii="Times New Roman" w:hAnsi="Times New Roman" w:cs="Times New Roman"/>
          <w:sz w:val="24"/>
          <w:szCs w:val="24"/>
          <w:lang w:val="en-US"/>
        </w:rPr>
      </w:pPr>
    </w:p>
    <w:p w14:paraId="0C291A8D" w14:textId="1FEC4919" w:rsidR="0030152A" w:rsidRDefault="0030152A" w:rsidP="00614E8A">
      <w:pPr>
        <w:jc w:val="both"/>
        <w:rPr>
          <w:rFonts w:ascii="Times New Roman" w:hAnsi="Times New Roman" w:cs="Times New Roman"/>
          <w:sz w:val="24"/>
          <w:szCs w:val="24"/>
          <w:lang w:val="en-US"/>
        </w:rPr>
      </w:pPr>
    </w:p>
    <w:p w14:paraId="5DE472EB" w14:textId="77777777" w:rsidR="0030152A" w:rsidRPr="00971E36" w:rsidRDefault="0030152A" w:rsidP="0030152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971E36">
        <w:rPr>
          <w:rFonts w:ascii="Times New Roman" w:eastAsia="Times New Roman" w:hAnsi="Times New Roman" w:cs="Times New Roman"/>
          <w:b/>
          <w:bCs/>
          <w:sz w:val="27"/>
          <w:szCs w:val="27"/>
          <w:lang w:eastAsia="de-DE"/>
        </w:rPr>
        <w:t>Biological Mechanisms</w:t>
      </w:r>
    </w:p>
    <w:p w14:paraId="20197B96" w14:textId="77777777" w:rsidR="0030152A" w:rsidRPr="00971E36" w:rsidRDefault="0030152A" w:rsidP="0030152A">
      <w:pPr>
        <w:spacing w:before="100" w:beforeAutospacing="1" w:after="100" w:afterAutospacing="1" w:line="240" w:lineRule="auto"/>
        <w:rPr>
          <w:rFonts w:ascii="Times New Roman" w:eastAsia="Times New Roman" w:hAnsi="Times New Roman" w:cs="Times New Roman"/>
          <w:sz w:val="24"/>
          <w:szCs w:val="24"/>
          <w:lang w:eastAsia="de-DE"/>
        </w:rPr>
      </w:pPr>
      <w:r w:rsidRPr="00971E36">
        <w:rPr>
          <w:rFonts w:ascii="Times New Roman" w:eastAsia="Times New Roman" w:hAnsi="Times New Roman" w:cs="Times New Roman"/>
          <w:sz w:val="24"/>
          <w:szCs w:val="24"/>
          <w:lang w:eastAsia="de-DE"/>
        </w:rPr>
        <w:t>Numerous potential pathomechanisms have been implicated in PCS: these may include the continued presence of viral RNA and proteins and the persistence of inflammatory reactions in important organs, such as the lungs, heart, brain, or vascular system (</w:t>
      </w:r>
      <w:hyperlink r:id="rId12" w:anchor="c9" w:history="1">
        <w:r w:rsidRPr="00971E36">
          <w:rPr>
            <w:rFonts w:ascii="Times New Roman" w:eastAsia="Times New Roman" w:hAnsi="Times New Roman" w:cs="Times New Roman"/>
            <w:color w:val="0000FF"/>
            <w:sz w:val="24"/>
            <w:szCs w:val="24"/>
            <w:u w:val="single"/>
            <w:lang w:eastAsia="de-DE"/>
          </w:rPr>
          <w:t>Bussani et al., 2023</w:t>
        </w:r>
      </w:hyperlink>
      <w:r w:rsidRPr="00971E36">
        <w:rPr>
          <w:rFonts w:ascii="Times New Roman" w:eastAsia="Times New Roman" w:hAnsi="Times New Roman" w:cs="Times New Roman"/>
          <w:sz w:val="24"/>
          <w:szCs w:val="24"/>
          <w:lang w:eastAsia="de-DE"/>
        </w:rPr>
        <w:t>) causing thrombosis, micro or macrovascular changes, and, possibly even long-term damage to many kinds of tissue (</w:t>
      </w:r>
      <w:hyperlink r:id="rId13" w:anchor="c36" w:history="1">
        <w:r w:rsidRPr="00971E36">
          <w:rPr>
            <w:rFonts w:ascii="Times New Roman" w:eastAsia="Times New Roman" w:hAnsi="Times New Roman" w:cs="Times New Roman"/>
            <w:color w:val="0000FF"/>
            <w:sz w:val="24"/>
            <w:szCs w:val="24"/>
            <w:u w:val="single"/>
            <w:lang w:eastAsia="de-DE"/>
          </w:rPr>
          <w:t>Jonigk et al., 2022</w:t>
        </w:r>
      </w:hyperlink>
      <w:r w:rsidRPr="00971E36">
        <w:rPr>
          <w:rFonts w:ascii="Times New Roman" w:eastAsia="Times New Roman" w:hAnsi="Times New Roman" w:cs="Times New Roman"/>
          <w:sz w:val="24"/>
          <w:szCs w:val="24"/>
          <w:lang w:eastAsia="de-DE"/>
        </w:rPr>
        <w:t>). Moreover, systemic alterations involving metabolism and immune changes, such as hyperinflammation or autoimmune reactions, may be permanent. In those with severe courses of COVID-19, who experience organ and respiratory dysfunction, persistent COVID-19 symptoms have been associated with dysregulated autoimmunity and immunodeficiency (</w:t>
      </w:r>
      <w:hyperlink r:id="rId14" w:anchor="c27" w:history="1">
        <w:r w:rsidRPr="00971E36">
          <w:rPr>
            <w:rFonts w:ascii="Times New Roman" w:eastAsia="Times New Roman" w:hAnsi="Times New Roman" w:cs="Times New Roman"/>
            <w:color w:val="0000FF"/>
            <w:sz w:val="24"/>
            <w:szCs w:val="24"/>
            <w:u w:val="single"/>
            <w:lang w:eastAsia="de-DE"/>
          </w:rPr>
          <w:t>Garmendia et al., 2023</w:t>
        </w:r>
      </w:hyperlink>
      <w:r w:rsidRPr="00971E36">
        <w:rPr>
          <w:rFonts w:ascii="Times New Roman" w:eastAsia="Times New Roman" w:hAnsi="Times New Roman" w:cs="Times New Roman"/>
          <w:sz w:val="24"/>
          <w:szCs w:val="24"/>
          <w:lang w:eastAsia="de-DE"/>
        </w:rPr>
        <w:t xml:space="preserve">; </w:t>
      </w:r>
      <w:hyperlink r:id="rId15" w:anchor="c79" w:history="1">
        <w:r w:rsidRPr="00971E36">
          <w:rPr>
            <w:rFonts w:ascii="Times New Roman" w:eastAsia="Times New Roman" w:hAnsi="Times New Roman" w:cs="Times New Roman"/>
            <w:color w:val="0000FF"/>
            <w:sz w:val="24"/>
            <w:szCs w:val="24"/>
            <w:u w:val="single"/>
            <w:lang w:eastAsia="de-DE"/>
          </w:rPr>
          <w:t>Sotzny et al., 2022</w:t>
        </w:r>
      </w:hyperlink>
      <w:r w:rsidRPr="00971E36">
        <w:rPr>
          <w:rFonts w:ascii="Times New Roman" w:eastAsia="Times New Roman" w:hAnsi="Times New Roman" w:cs="Times New Roman"/>
          <w:sz w:val="24"/>
          <w:szCs w:val="24"/>
          <w:lang w:eastAsia="de-DE"/>
        </w:rPr>
        <w:t>). Alterations in immune function have been observed in various other viral infections, including Epstein-Barr, Ebola, SARS-CoV-1, and MERS. Anomalies in the activation of immunological pathways have been linked to persistent symptoms over time (</w:t>
      </w:r>
      <w:hyperlink r:id="rId16" w:anchor="c55" w:history="1">
        <w:r w:rsidRPr="00971E36">
          <w:rPr>
            <w:rFonts w:ascii="Times New Roman" w:eastAsia="Times New Roman" w:hAnsi="Times New Roman" w:cs="Times New Roman"/>
            <w:color w:val="0000FF"/>
            <w:sz w:val="24"/>
            <w:szCs w:val="24"/>
            <w:u w:val="single"/>
            <w:lang w:eastAsia="de-DE"/>
          </w:rPr>
          <w:t>Needham et al., 2022</w:t>
        </w:r>
      </w:hyperlink>
      <w:r w:rsidRPr="00971E36">
        <w:rPr>
          <w:rFonts w:ascii="Times New Roman" w:eastAsia="Times New Roman" w:hAnsi="Times New Roman" w:cs="Times New Roman"/>
          <w:sz w:val="24"/>
          <w:szCs w:val="24"/>
          <w:lang w:eastAsia="de-DE"/>
        </w:rPr>
        <w:t xml:space="preserve">; </w:t>
      </w:r>
      <w:hyperlink r:id="rId17" w:anchor="c65" w:history="1">
        <w:r w:rsidRPr="00971E36">
          <w:rPr>
            <w:rFonts w:ascii="Times New Roman" w:eastAsia="Times New Roman" w:hAnsi="Times New Roman" w:cs="Times New Roman"/>
            <w:color w:val="0000FF"/>
            <w:sz w:val="24"/>
            <w:szCs w:val="24"/>
            <w:u w:val="single"/>
            <w:lang w:eastAsia="de-DE"/>
          </w:rPr>
          <w:t>Proal &amp; VanElzakker, 2021</w:t>
        </w:r>
      </w:hyperlink>
      <w:r w:rsidRPr="00971E36">
        <w:rPr>
          <w:rFonts w:ascii="Times New Roman" w:eastAsia="Times New Roman" w:hAnsi="Times New Roman" w:cs="Times New Roman"/>
          <w:sz w:val="24"/>
          <w:szCs w:val="24"/>
          <w:lang w:eastAsia="de-DE"/>
        </w:rPr>
        <w:t>).</w:t>
      </w:r>
    </w:p>
    <w:p w14:paraId="0CA6F7A5" w14:textId="77777777" w:rsidR="0030152A" w:rsidRPr="00971E36" w:rsidRDefault="0030152A" w:rsidP="0030152A">
      <w:pPr>
        <w:spacing w:before="100" w:beforeAutospacing="1" w:after="100" w:afterAutospacing="1" w:line="240" w:lineRule="auto"/>
        <w:rPr>
          <w:rFonts w:ascii="Times New Roman" w:eastAsia="Times New Roman" w:hAnsi="Times New Roman" w:cs="Times New Roman"/>
          <w:sz w:val="24"/>
          <w:szCs w:val="24"/>
          <w:lang w:eastAsia="de-DE"/>
        </w:rPr>
      </w:pPr>
      <w:r w:rsidRPr="00971E36">
        <w:rPr>
          <w:rFonts w:ascii="Times New Roman" w:eastAsia="Times New Roman" w:hAnsi="Times New Roman" w:cs="Times New Roman"/>
          <w:sz w:val="24"/>
          <w:szCs w:val="24"/>
          <w:lang w:eastAsia="de-DE"/>
        </w:rPr>
        <w:t>Systemic alterations in transmitter systems have been found, such as the renin-angiotensin-aldosterone system (RAAS) and the Hypothalamic–Pituitary–Adrenal (HPA) axis (</w:t>
      </w:r>
      <w:hyperlink r:id="rId18" w:anchor="c35" w:history="1">
        <w:r w:rsidRPr="00971E36">
          <w:rPr>
            <w:rFonts w:ascii="Times New Roman" w:eastAsia="Times New Roman" w:hAnsi="Times New Roman" w:cs="Times New Roman"/>
            <w:color w:val="0000FF"/>
            <w:sz w:val="24"/>
            <w:szCs w:val="24"/>
            <w:u w:val="single"/>
            <w:lang w:eastAsia="de-DE"/>
          </w:rPr>
          <w:t>Jensterle et al., 2022</w:t>
        </w:r>
      </w:hyperlink>
      <w:r w:rsidRPr="00971E36">
        <w:rPr>
          <w:rFonts w:ascii="Times New Roman" w:eastAsia="Times New Roman" w:hAnsi="Times New Roman" w:cs="Times New Roman"/>
          <w:sz w:val="24"/>
          <w:szCs w:val="24"/>
          <w:lang w:eastAsia="de-DE"/>
        </w:rPr>
        <w:t xml:space="preserve">; </w:t>
      </w:r>
      <w:hyperlink r:id="rId19" w:anchor="c46" w:history="1">
        <w:r w:rsidRPr="00971E36">
          <w:rPr>
            <w:rFonts w:ascii="Times New Roman" w:eastAsia="Times New Roman" w:hAnsi="Times New Roman" w:cs="Times New Roman"/>
            <w:color w:val="0000FF"/>
            <w:sz w:val="24"/>
            <w:szCs w:val="24"/>
            <w:u w:val="single"/>
            <w:lang w:eastAsia="de-DE"/>
          </w:rPr>
          <w:t>Maranduca et al., 2022</w:t>
        </w:r>
      </w:hyperlink>
      <w:r w:rsidRPr="00971E36">
        <w:rPr>
          <w:rFonts w:ascii="Times New Roman" w:eastAsia="Times New Roman" w:hAnsi="Times New Roman" w:cs="Times New Roman"/>
          <w:sz w:val="24"/>
          <w:szCs w:val="24"/>
          <w:lang w:eastAsia="de-DE"/>
        </w:rPr>
        <w:t>), that are essential in regulating blood pressure and in coordinating inflammatory responses of the body. Specifically, the SARS-CoV-2 virus obstructs the production of angiotensin-converting enzyme type 2 (ACE-2), part of the RAAS system, resulting in disrupted homeostasis (</w:t>
      </w:r>
      <w:hyperlink r:id="rId20" w:anchor="c51" w:history="1">
        <w:r w:rsidRPr="00971E36">
          <w:rPr>
            <w:rFonts w:ascii="Times New Roman" w:eastAsia="Times New Roman" w:hAnsi="Times New Roman" w:cs="Times New Roman"/>
            <w:color w:val="0000FF"/>
            <w:sz w:val="24"/>
            <w:szCs w:val="24"/>
            <w:u w:val="single"/>
            <w:lang w:eastAsia="de-DE"/>
          </w:rPr>
          <w:t>Méndez-García et al., 2022</w:t>
        </w:r>
      </w:hyperlink>
      <w:r w:rsidRPr="00971E36">
        <w:rPr>
          <w:rFonts w:ascii="Times New Roman" w:eastAsia="Times New Roman" w:hAnsi="Times New Roman" w:cs="Times New Roman"/>
          <w:sz w:val="24"/>
          <w:szCs w:val="24"/>
          <w:lang w:eastAsia="de-DE"/>
        </w:rPr>
        <w:t xml:space="preserve">). Furthermore, the dysregulation of the immune system appears to play a central role in persistent changes following COVID-19, termed </w:t>
      </w:r>
      <w:r w:rsidRPr="00971E36">
        <w:rPr>
          <w:rFonts w:ascii="Times New Roman" w:eastAsia="Times New Roman" w:hAnsi="Times New Roman" w:cs="Times New Roman"/>
          <w:i/>
          <w:iCs/>
          <w:sz w:val="24"/>
          <w:szCs w:val="24"/>
          <w:lang w:eastAsia="de-DE"/>
        </w:rPr>
        <w:t>Multisystem Inflammatory Syndrome in Children (MIC-S),</w:t>
      </w:r>
      <w:r w:rsidRPr="00971E36">
        <w:rPr>
          <w:rFonts w:ascii="Times New Roman" w:eastAsia="Times New Roman" w:hAnsi="Times New Roman" w:cs="Times New Roman"/>
          <w:sz w:val="24"/>
          <w:szCs w:val="24"/>
          <w:lang w:eastAsia="de-DE"/>
        </w:rPr>
        <w:t xml:space="preserve"> among pediatric populations (</w:t>
      </w:r>
      <w:hyperlink r:id="rId21" w:anchor="c12" w:history="1">
        <w:r w:rsidRPr="00971E36">
          <w:rPr>
            <w:rFonts w:ascii="Times New Roman" w:eastAsia="Times New Roman" w:hAnsi="Times New Roman" w:cs="Times New Roman"/>
            <w:color w:val="0000FF"/>
            <w:sz w:val="24"/>
            <w:szCs w:val="24"/>
            <w:u w:val="single"/>
            <w:lang w:eastAsia="de-DE"/>
          </w:rPr>
          <w:t>Chakraborty et al., 2023</w:t>
        </w:r>
      </w:hyperlink>
      <w:r w:rsidRPr="00971E36">
        <w:rPr>
          <w:rFonts w:ascii="Times New Roman" w:eastAsia="Times New Roman" w:hAnsi="Times New Roman" w:cs="Times New Roman"/>
          <w:sz w:val="24"/>
          <w:szCs w:val="24"/>
          <w:lang w:eastAsia="de-DE"/>
        </w:rPr>
        <w:t xml:space="preserve">; </w:t>
      </w:r>
      <w:hyperlink r:id="rId22" w:anchor="c41" w:history="1">
        <w:r w:rsidRPr="00971E36">
          <w:rPr>
            <w:rFonts w:ascii="Times New Roman" w:eastAsia="Times New Roman" w:hAnsi="Times New Roman" w:cs="Times New Roman"/>
            <w:color w:val="0000FF"/>
            <w:sz w:val="24"/>
            <w:szCs w:val="24"/>
            <w:u w:val="single"/>
            <w:lang w:eastAsia="de-DE"/>
          </w:rPr>
          <w:t>P.-I. Lee &amp; Hsueh, 2023</w:t>
        </w:r>
      </w:hyperlink>
      <w:r w:rsidRPr="00971E36">
        <w:rPr>
          <w:rFonts w:ascii="Times New Roman" w:eastAsia="Times New Roman" w:hAnsi="Times New Roman" w:cs="Times New Roman"/>
          <w:sz w:val="24"/>
          <w:szCs w:val="24"/>
          <w:lang w:eastAsia="de-DE"/>
        </w:rPr>
        <w:t>).</w:t>
      </w:r>
    </w:p>
    <w:p w14:paraId="7C7739B9" w14:textId="77777777" w:rsidR="0030152A" w:rsidRPr="00971E36" w:rsidRDefault="0030152A" w:rsidP="0030152A">
      <w:pPr>
        <w:spacing w:before="100" w:beforeAutospacing="1" w:after="100" w:afterAutospacing="1" w:line="240" w:lineRule="auto"/>
        <w:rPr>
          <w:rFonts w:ascii="Times New Roman" w:eastAsia="Times New Roman" w:hAnsi="Times New Roman" w:cs="Times New Roman"/>
          <w:sz w:val="24"/>
          <w:szCs w:val="24"/>
          <w:lang w:eastAsia="de-DE"/>
        </w:rPr>
      </w:pPr>
      <w:r w:rsidRPr="00971E36">
        <w:rPr>
          <w:rFonts w:ascii="Times New Roman" w:eastAsia="Times New Roman" w:hAnsi="Times New Roman" w:cs="Times New Roman"/>
          <w:sz w:val="24"/>
          <w:szCs w:val="24"/>
          <w:lang w:eastAsia="de-DE"/>
        </w:rPr>
        <w:t>Some authors (</w:t>
      </w:r>
      <w:hyperlink r:id="rId23" w:anchor="c18" w:history="1">
        <w:r w:rsidRPr="00971E36">
          <w:rPr>
            <w:rFonts w:ascii="Times New Roman" w:eastAsia="Times New Roman" w:hAnsi="Times New Roman" w:cs="Times New Roman"/>
            <w:color w:val="0000FF"/>
            <w:sz w:val="24"/>
            <w:szCs w:val="24"/>
            <w:u w:val="single"/>
            <w:lang w:eastAsia="de-DE"/>
          </w:rPr>
          <w:t>de Melo et al., 2021</w:t>
        </w:r>
      </w:hyperlink>
      <w:r w:rsidRPr="00971E36">
        <w:rPr>
          <w:rFonts w:ascii="Times New Roman" w:eastAsia="Times New Roman" w:hAnsi="Times New Roman" w:cs="Times New Roman"/>
          <w:sz w:val="24"/>
          <w:szCs w:val="24"/>
          <w:lang w:eastAsia="de-DE"/>
        </w:rPr>
        <w:t xml:space="preserve">; </w:t>
      </w:r>
      <w:hyperlink r:id="rId24" w:anchor="c38" w:history="1">
        <w:r w:rsidRPr="00971E36">
          <w:rPr>
            <w:rFonts w:ascii="Times New Roman" w:eastAsia="Times New Roman" w:hAnsi="Times New Roman" w:cs="Times New Roman"/>
            <w:color w:val="0000FF"/>
            <w:sz w:val="24"/>
            <w:szCs w:val="24"/>
            <w:u w:val="single"/>
            <w:lang w:eastAsia="de-DE"/>
          </w:rPr>
          <w:t>Käufer et al., 2022</w:t>
        </w:r>
      </w:hyperlink>
      <w:r w:rsidRPr="00971E36">
        <w:rPr>
          <w:rFonts w:ascii="Times New Roman" w:eastAsia="Times New Roman" w:hAnsi="Times New Roman" w:cs="Times New Roman"/>
          <w:sz w:val="24"/>
          <w:szCs w:val="24"/>
          <w:lang w:eastAsia="de-DE"/>
        </w:rPr>
        <w:t xml:space="preserve">; </w:t>
      </w:r>
      <w:hyperlink r:id="rId25" w:anchor="c75" w:history="1">
        <w:r w:rsidRPr="00971E36">
          <w:rPr>
            <w:rFonts w:ascii="Times New Roman" w:eastAsia="Times New Roman" w:hAnsi="Times New Roman" w:cs="Times New Roman"/>
            <w:color w:val="0000FF"/>
            <w:sz w:val="24"/>
            <w:szCs w:val="24"/>
            <w:u w:val="single"/>
            <w:lang w:eastAsia="de-DE"/>
          </w:rPr>
          <w:t>Schwabenland et al., 2021</w:t>
        </w:r>
      </w:hyperlink>
      <w:r w:rsidRPr="00971E36">
        <w:rPr>
          <w:rFonts w:ascii="Times New Roman" w:eastAsia="Times New Roman" w:hAnsi="Times New Roman" w:cs="Times New Roman"/>
          <w:sz w:val="24"/>
          <w:szCs w:val="24"/>
          <w:lang w:eastAsia="de-DE"/>
        </w:rPr>
        <w:t>) have hypothesized that sustained neurocognitive impairments after SARS-CoV-2 infection could be related to these mechanisms, as the latter may have repercussions on cognition or neuropathy. Peripheral inflammatory cytokines may cross the blood-brain barrier and modulate central nervous system (CNS) inflammatory processes resulting in impaired cognitive functioning in animal models (</w:t>
      </w:r>
      <w:hyperlink r:id="rId26" w:anchor="c40" w:history="1">
        <w:r w:rsidRPr="00971E36">
          <w:rPr>
            <w:rFonts w:ascii="Times New Roman" w:eastAsia="Times New Roman" w:hAnsi="Times New Roman" w:cs="Times New Roman"/>
            <w:color w:val="0000FF"/>
            <w:sz w:val="24"/>
            <w:szCs w:val="24"/>
            <w:u w:val="single"/>
            <w:lang w:eastAsia="de-DE"/>
          </w:rPr>
          <w:t>Lee et al., 2009</w:t>
        </w:r>
      </w:hyperlink>
      <w:r w:rsidRPr="00971E36">
        <w:rPr>
          <w:rFonts w:ascii="Times New Roman" w:eastAsia="Times New Roman" w:hAnsi="Times New Roman" w:cs="Times New Roman"/>
          <w:sz w:val="24"/>
          <w:szCs w:val="24"/>
          <w:lang w:eastAsia="de-DE"/>
        </w:rPr>
        <w:t xml:space="preserve">; </w:t>
      </w:r>
      <w:hyperlink r:id="rId27" w:anchor="c47" w:history="1">
        <w:r w:rsidRPr="00971E36">
          <w:rPr>
            <w:rFonts w:ascii="Times New Roman" w:eastAsia="Times New Roman" w:hAnsi="Times New Roman" w:cs="Times New Roman"/>
            <w:color w:val="0000FF"/>
            <w:sz w:val="24"/>
            <w:szCs w:val="24"/>
            <w:u w:val="single"/>
            <w:lang w:eastAsia="de-DE"/>
          </w:rPr>
          <w:t>Marsland et al., 2015</w:t>
        </w:r>
      </w:hyperlink>
      <w:r w:rsidRPr="00971E36">
        <w:rPr>
          <w:rFonts w:ascii="Times New Roman" w:eastAsia="Times New Roman" w:hAnsi="Times New Roman" w:cs="Times New Roman"/>
          <w:sz w:val="24"/>
          <w:szCs w:val="24"/>
          <w:lang w:eastAsia="de-DE"/>
        </w:rPr>
        <w:t xml:space="preserve">; </w:t>
      </w:r>
      <w:hyperlink r:id="rId28" w:anchor="c88" w:history="1">
        <w:r w:rsidRPr="00971E36">
          <w:rPr>
            <w:rFonts w:ascii="Times New Roman" w:eastAsia="Times New Roman" w:hAnsi="Times New Roman" w:cs="Times New Roman"/>
            <w:color w:val="0000FF"/>
            <w:sz w:val="24"/>
            <w:szCs w:val="24"/>
            <w:u w:val="single"/>
            <w:lang w:eastAsia="de-DE"/>
          </w:rPr>
          <w:t>Zuliani et al., 2007</w:t>
        </w:r>
      </w:hyperlink>
      <w:r w:rsidRPr="00971E36">
        <w:rPr>
          <w:rFonts w:ascii="Times New Roman" w:eastAsia="Times New Roman" w:hAnsi="Times New Roman" w:cs="Times New Roman"/>
          <w:sz w:val="24"/>
          <w:szCs w:val="24"/>
          <w:lang w:eastAsia="de-DE"/>
        </w:rPr>
        <w:t>). In humans, abnormally high levels of the C-reactive protein and interleukin-6 have been associated with a decrease in specific cognitive abilities (e. g., spatial reasoning, short-term memory, verbal ability, learning, memory, and executive function) as well as with brain morphological changes in grey and white matter volumes, and hippocampus and cortical surface areas (</w:t>
      </w:r>
      <w:hyperlink r:id="rId29" w:anchor="c47" w:history="1">
        <w:r w:rsidRPr="00971E36">
          <w:rPr>
            <w:rFonts w:ascii="Times New Roman" w:eastAsia="Times New Roman" w:hAnsi="Times New Roman" w:cs="Times New Roman"/>
            <w:color w:val="0000FF"/>
            <w:sz w:val="24"/>
            <w:szCs w:val="24"/>
            <w:u w:val="single"/>
            <w:lang w:eastAsia="de-DE"/>
          </w:rPr>
          <w:t>Marsland et al., 2015</w:t>
        </w:r>
      </w:hyperlink>
      <w:r w:rsidRPr="00971E36">
        <w:rPr>
          <w:rFonts w:ascii="Times New Roman" w:eastAsia="Times New Roman" w:hAnsi="Times New Roman" w:cs="Times New Roman"/>
          <w:sz w:val="24"/>
          <w:szCs w:val="24"/>
          <w:lang w:eastAsia="de-DE"/>
        </w:rPr>
        <w:t>).</w:t>
      </w:r>
    </w:p>
    <w:p w14:paraId="04EE64AC" w14:textId="77777777" w:rsidR="0030152A" w:rsidRPr="00971E36" w:rsidRDefault="0030152A" w:rsidP="0030152A">
      <w:pPr>
        <w:spacing w:before="100" w:beforeAutospacing="1" w:after="100" w:afterAutospacing="1" w:line="240" w:lineRule="auto"/>
        <w:rPr>
          <w:rFonts w:ascii="Times New Roman" w:eastAsia="Times New Roman" w:hAnsi="Times New Roman" w:cs="Times New Roman"/>
          <w:sz w:val="24"/>
          <w:szCs w:val="24"/>
          <w:lang w:eastAsia="de-DE"/>
        </w:rPr>
      </w:pPr>
      <w:r w:rsidRPr="00971E36">
        <w:rPr>
          <w:rFonts w:ascii="Times New Roman" w:eastAsia="Times New Roman" w:hAnsi="Times New Roman" w:cs="Times New Roman"/>
          <w:sz w:val="24"/>
          <w:szCs w:val="24"/>
          <w:lang w:eastAsia="de-DE"/>
        </w:rPr>
        <w:t>Long-term neurological disorders associated with PCS may involve encephalopathy, cerebral dysregulation, and ischemic stroke (</w:t>
      </w:r>
      <w:hyperlink r:id="rId30" w:anchor="c34" w:history="1">
        <w:r w:rsidRPr="00971E36">
          <w:rPr>
            <w:rFonts w:ascii="Times New Roman" w:eastAsia="Times New Roman" w:hAnsi="Times New Roman" w:cs="Times New Roman"/>
            <w:color w:val="0000FF"/>
            <w:sz w:val="24"/>
            <w:szCs w:val="24"/>
            <w:u w:val="single"/>
            <w:lang w:eastAsia="de-DE"/>
          </w:rPr>
          <w:t>Hingorani et al., 2022</w:t>
        </w:r>
      </w:hyperlink>
      <w:r w:rsidRPr="00971E36">
        <w:rPr>
          <w:rFonts w:ascii="Times New Roman" w:eastAsia="Times New Roman" w:hAnsi="Times New Roman" w:cs="Times New Roman"/>
          <w:sz w:val="24"/>
          <w:szCs w:val="24"/>
          <w:lang w:eastAsia="de-DE"/>
        </w:rPr>
        <w:t>). There may be direct viral damage to the CNS via the binding of the SARS-CoV-2 virus to specific receptors that allow them to pass the blood-brain barrier (</w:t>
      </w:r>
      <w:hyperlink r:id="rId31" w:anchor="c33" w:history="1">
        <w:r w:rsidRPr="00971E36">
          <w:rPr>
            <w:rFonts w:ascii="Times New Roman" w:eastAsia="Times New Roman" w:hAnsi="Times New Roman" w:cs="Times New Roman"/>
            <w:color w:val="0000FF"/>
            <w:sz w:val="24"/>
            <w:szCs w:val="24"/>
            <w:u w:val="single"/>
            <w:lang w:eastAsia="de-DE"/>
          </w:rPr>
          <w:t>Heneka et al., 2020</w:t>
        </w:r>
      </w:hyperlink>
      <w:r w:rsidRPr="00971E36">
        <w:rPr>
          <w:rFonts w:ascii="Times New Roman" w:eastAsia="Times New Roman" w:hAnsi="Times New Roman" w:cs="Times New Roman"/>
          <w:sz w:val="24"/>
          <w:szCs w:val="24"/>
          <w:lang w:eastAsia="de-DE"/>
        </w:rPr>
        <w:t>). However, direct invasion into the brain or spinal column is not the most salient mechanism of long-term COVID-19-related changes (</w:t>
      </w:r>
      <w:hyperlink r:id="rId32" w:anchor="c28" w:history="1">
        <w:r w:rsidRPr="00971E36">
          <w:rPr>
            <w:rFonts w:ascii="Times New Roman" w:eastAsia="Times New Roman" w:hAnsi="Times New Roman" w:cs="Times New Roman"/>
            <w:color w:val="0000FF"/>
            <w:sz w:val="24"/>
            <w:szCs w:val="24"/>
            <w:u w:val="single"/>
            <w:lang w:eastAsia="de-DE"/>
          </w:rPr>
          <w:t>Gerhard et al., 2022</w:t>
        </w:r>
      </w:hyperlink>
      <w:r w:rsidRPr="00971E36">
        <w:rPr>
          <w:rFonts w:ascii="Times New Roman" w:eastAsia="Times New Roman" w:hAnsi="Times New Roman" w:cs="Times New Roman"/>
          <w:sz w:val="24"/>
          <w:szCs w:val="24"/>
          <w:lang w:eastAsia="de-DE"/>
        </w:rPr>
        <w:t xml:space="preserve">; </w:t>
      </w:r>
      <w:hyperlink r:id="rId33" w:anchor="c37" w:history="1">
        <w:r w:rsidRPr="00971E36">
          <w:rPr>
            <w:rFonts w:ascii="Times New Roman" w:eastAsia="Times New Roman" w:hAnsi="Times New Roman" w:cs="Times New Roman"/>
            <w:color w:val="0000FF"/>
            <w:sz w:val="24"/>
            <w:szCs w:val="24"/>
            <w:u w:val="single"/>
            <w:lang w:eastAsia="de-DE"/>
          </w:rPr>
          <w:t>Kanberg et al., 2021</w:t>
        </w:r>
      </w:hyperlink>
      <w:r w:rsidRPr="00971E36">
        <w:rPr>
          <w:rFonts w:ascii="Times New Roman" w:eastAsia="Times New Roman" w:hAnsi="Times New Roman" w:cs="Times New Roman"/>
          <w:sz w:val="24"/>
          <w:szCs w:val="24"/>
          <w:lang w:eastAsia="de-DE"/>
        </w:rPr>
        <w:t>).</w:t>
      </w:r>
    </w:p>
    <w:p w14:paraId="4898D4B4" w14:textId="77777777" w:rsidR="0030152A" w:rsidRDefault="0030152A" w:rsidP="0030152A">
      <w:pPr>
        <w:spacing w:before="100" w:beforeAutospacing="1" w:after="100" w:afterAutospacing="1" w:line="240" w:lineRule="auto"/>
        <w:rPr>
          <w:rFonts w:ascii="Times New Roman" w:eastAsia="Times New Roman" w:hAnsi="Times New Roman" w:cs="Times New Roman"/>
          <w:sz w:val="24"/>
          <w:szCs w:val="24"/>
          <w:lang w:eastAsia="de-DE"/>
        </w:rPr>
      </w:pPr>
      <w:r w:rsidRPr="00971E36">
        <w:rPr>
          <w:rFonts w:ascii="Times New Roman" w:eastAsia="Times New Roman" w:hAnsi="Times New Roman" w:cs="Times New Roman"/>
          <w:sz w:val="24"/>
          <w:szCs w:val="24"/>
          <w:lang w:eastAsia="de-DE"/>
        </w:rPr>
        <w:lastRenderedPageBreak/>
        <w:t>Given the extensive range of pathomechanisms involved and the need for clarity in the context of PCS, novel research initiatives have emerged, such as the transdisciplinary international consortium NeuroCOV (</w:t>
      </w:r>
      <w:hyperlink r:id="rId34" w:tgtFrame="_blank" w:history="1">
        <w:r w:rsidRPr="00971E36">
          <w:rPr>
            <w:rFonts w:ascii="Times New Roman" w:eastAsia="Times New Roman" w:hAnsi="Times New Roman" w:cs="Times New Roman"/>
            <w:color w:val="0000FF"/>
            <w:sz w:val="24"/>
            <w:szCs w:val="24"/>
            <w:u w:val="single"/>
            <w:lang w:eastAsia="de-DE"/>
          </w:rPr>
          <w:t>https://www.neurocov.eu/</w:t>
        </w:r>
      </w:hyperlink>
      <w:r w:rsidRPr="00971E36">
        <w:rPr>
          <w:rFonts w:ascii="Times New Roman" w:eastAsia="Times New Roman" w:hAnsi="Times New Roman" w:cs="Times New Roman"/>
          <w:sz w:val="24"/>
          <w:szCs w:val="24"/>
          <w:lang w:eastAsia="de-DE"/>
        </w:rPr>
        <w:t>) and the RECOVER Initiative (Researching COVID to Enhance Recovery) in the United States (</w:t>
      </w:r>
      <w:hyperlink r:id="rId35" w:anchor="c67" w:history="1">
        <w:r w:rsidRPr="00971E36">
          <w:rPr>
            <w:rFonts w:ascii="Times New Roman" w:eastAsia="Times New Roman" w:hAnsi="Times New Roman" w:cs="Times New Roman"/>
            <w:color w:val="0000FF"/>
            <w:sz w:val="24"/>
            <w:szCs w:val="24"/>
            <w:u w:val="single"/>
            <w:lang w:eastAsia="de-DE"/>
          </w:rPr>
          <w:t>Reese et al., 2023</w:t>
        </w:r>
      </w:hyperlink>
      <w:r w:rsidRPr="00971E36">
        <w:rPr>
          <w:rFonts w:ascii="Times New Roman" w:eastAsia="Times New Roman" w:hAnsi="Times New Roman" w:cs="Times New Roman"/>
          <w:sz w:val="24"/>
          <w:szCs w:val="24"/>
          <w:lang w:eastAsia="de-DE"/>
        </w:rPr>
        <w:t xml:space="preserve">; </w:t>
      </w:r>
      <w:hyperlink r:id="rId36" w:anchor="c86" w:history="1">
        <w:r w:rsidRPr="00971E36">
          <w:rPr>
            <w:rFonts w:ascii="Times New Roman" w:eastAsia="Times New Roman" w:hAnsi="Times New Roman" w:cs="Times New Roman"/>
            <w:color w:val="0000FF"/>
            <w:sz w:val="24"/>
            <w:szCs w:val="24"/>
            <w:u w:val="single"/>
            <w:lang w:eastAsia="de-DE"/>
          </w:rPr>
          <w:t>Zhang et al., 2023</w:t>
        </w:r>
      </w:hyperlink>
      <w:r w:rsidRPr="00971E36">
        <w:rPr>
          <w:rFonts w:ascii="Times New Roman" w:eastAsia="Times New Roman" w:hAnsi="Times New Roman" w:cs="Times New Roman"/>
          <w:sz w:val="24"/>
          <w:szCs w:val="24"/>
          <w:lang w:eastAsia="de-DE"/>
        </w:rPr>
        <w:t>). They are strategically studying the various phenotypes of PCS and specific mechanisms over time, utilizing multiple approaches such as epidemiology, molecular biology, machine learning, and social sci</w:t>
      </w:r>
      <w:r>
        <w:rPr>
          <w:rFonts w:ascii="Times New Roman" w:eastAsia="Times New Roman" w:hAnsi="Times New Roman" w:cs="Times New Roman"/>
          <w:sz w:val="24"/>
          <w:szCs w:val="24"/>
          <w:lang w:eastAsia="de-DE"/>
        </w:rPr>
        <w:t>ence.</w:t>
      </w:r>
    </w:p>
    <w:p w14:paraId="46BD0E90" w14:textId="77777777" w:rsidR="0030152A" w:rsidRPr="00614E8A" w:rsidRDefault="0030152A" w:rsidP="00614E8A">
      <w:pPr>
        <w:jc w:val="both"/>
        <w:rPr>
          <w:rFonts w:ascii="Times New Roman" w:hAnsi="Times New Roman" w:cs="Times New Roman"/>
          <w:sz w:val="24"/>
          <w:szCs w:val="24"/>
          <w:lang w:val="en-US"/>
        </w:rPr>
      </w:pPr>
    </w:p>
    <w:sectPr w:rsidR="0030152A" w:rsidRPr="00614E8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lf Hauffe" w:date="2025-03-24T10:34:00Z" w:initials="RH">
    <w:p w14:paraId="0D1E2769" w14:textId="77777777" w:rsidR="0043406D" w:rsidRDefault="0043406D" w:rsidP="0043406D">
      <w:pPr>
        <w:pStyle w:val="Kommentartext"/>
      </w:pPr>
      <w:r>
        <w:rPr>
          <w:rStyle w:val="Kommentarzeichen"/>
        </w:rPr>
        <w:annotationRef/>
      </w:r>
      <w:r>
        <w:t>Method</w:t>
      </w:r>
    </w:p>
  </w:comment>
  <w:comment w:id="1" w:author="Christian Neumann" w:date="2025-03-10T10:12:00Z" w:initials="Christian">
    <w:p w14:paraId="2456D584" w14:textId="77777777" w:rsidR="003B05D4" w:rsidRDefault="003B05D4" w:rsidP="003B05D4">
      <w:pPr>
        <w:pStyle w:val="Kommentartext"/>
      </w:pPr>
      <w:r>
        <w:rPr>
          <w:rStyle w:val="Kommentarzeichen"/>
        </w:rPr>
        <w:annotationRef/>
      </w:r>
      <w:r>
        <w:t>Ich bin mir relativ sicher, dass Fatigue und Depression beide auch mit objektiver kognitiver Verschlechterung zusammenhängt und es dazu Studien gibt</w:t>
      </w:r>
    </w:p>
  </w:comment>
  <w:comment w:id="2" w:author="Janka Hauffe" w:date="2025-03-05T15:56:00Z" w:initials="Janka Hau">
    <w:p w14:paraId="3249E559" w14:textId="77777777" w:rsidR="003B05D4" w:rsidRDefault="003B05D4" w:rsidP="003B05D4">
      <w:pPr>
        <w:pStyle w:val="CommentText"/>
        <w:ind w:firstLine="0"/>
        <w:jc w:val="left"/>
      </w:pPr>
      <w:r>
        <w:rPr>
          <w:rStyle w:val="Kommentarzeichen"/>
        </w:rPr>
        <w:annotationRef/>
      </w:r>
      <w:r>
        <w:rPr>
          <w:lang w:val="en-US"/>
        </w:rPr>
        <w:t>Do I need to mention citation from earlier here again?</w:t>
      </w:r>
    </w:p>
  </w:comment>
  <w:comment w:id="3" w:author="Christian Neumann" w:date="2025-03-10T10:14:00Z" w:initials="Christian">
    <w:p w14:paraId="57F04A3E" w14:textId="77777777" w:rsidR="003B05D4" w:rsidRDefault="003B05D4" w:rsidP="003B05D4">
      <w:pPr>
        <w:pStyle w:val="Kommentartext"/>
      </w:pPr>
      <w:r>
        <w:rPr>
          <w:rStyle w:val="Kommentarzeichen"/>
        </w:rPr>
        <w:annotationRef/>
      </w:r>
      <w:r>
        <w:t>ja</w:t>
      </w:r>
    </w:p>
  </w:comment>
  <w:comment w:id="5" w:author="Janka Hauffe" w:date="2025-02-10T14:39:00Z" w:initials="Janka Hau">
    <w:p w14:paraId="4047CCDB" w14:textId="77777777" w:rsidR="00E13ED9" w:rsidRPr="00F436FC" w:rsidRDefault="00E13ED9" w:rsidP="00E13ED9">
      <w:pPr>
        <w:pStyle w:val="CommentText"/>
        <w:ind w:firstLine="0"/>
        <w:jc w:val="left"/>
      </w:pPr>
      <w:r>
        <w:rPr>
          <w:rStyle w:val="Kommentarzeichen"/>
        </w:rPr>
        <w:annotationRef/>
      </w:r>
      <w:r>
        <w:rPr>
          <w:lang w:val="en-US"/>
        </w:rPr>
        <w:t>In conclusion, individuals with SCD perform within normal ranges on neuropsychological tests, they exhibit varying trajectories, with some maintaining stable cognitive function (Sohrabi et al., 2019) while others face an increased risk of objective cognitive impairment, such as MCI, AD, dementia (L i et al., 2022; Numbers et al., 2023; Rivas-Fern´andez et al., 2023).</w:t>
      </w:r>
    </w:p>
  </w:comment>
  <w:comment w:id="6" w:author="Janka Hauffe" w:date="2025-02-28T11:13:00Z" w:initials="Janka Hau">
    <w:p w14:paraId="1D8AD27D" w14:textId="77777777" w:rsidR="00E13ED9" w:rsidRPr="009861E9" w:rsidRDefault="00E13ED9" w:rsidP="00E13ED9">
      <w:pPr>
        <w:pStyle w:val="CommentText"/>
        <w:ind w:firstLine="0"/>
        <w:jc w:val="left"/>
        <w:rPr>
          <w:lang w:val="da-DK"/>
        </w:rPr>
      </w:pPr>
      <w:r>
        <w:rPr>
          <w:rStyle w:val="Kommentarzeichen"/>
        </w:rPr>
        <w:annotationRef/>
      </w:r>
      <w:r>
        <w:rPr>
          <w:lang w:val="en-US"/>
        </w:rPr>
        <w:t>.</w:t>
      </w:r>
    </w:p>
  </w:comment>
  <w:comment w:id="8" w:author="Janka Hauffe" w:date="2025-02-28T13:31:00Z" w:initials="Janka Hau">
    <w:p w14:paraId="016FEF88" w14:textId="77777777" w:rsidR="00E13ED9" w:rsidRDefault="00E13ED9" w:rsidP="00E13ED9">
      <w:pPr>
        <w:pStyle w:val="CommentText"/>
        <w:ind w:firstLine="0"/>
        <w:jc w:val="left"/>
      </w:pPr>
      <w:r>
        <w:rPr>
          <w:rStyle w:val="Kommentarzeichen"/>
        </w:rPr>
        <w:annotationRef/>
      </w:r>
      <w:r>
        <w:rPr>
          <w:lang w:val="en-US"/>
        </w:rPr>
        <w:t xml:space="preserve">Therefore, discussing MCI in this context is essential to understanding PCS-related cognitive impairment </w:t>
      </w:r>
    </w:p>
  </w:comment>
  <w:comment w:id="7" w:author="Christian Neumann" w:date="2025-03-10T08:38:00Z" w:initials="Christian">
    <w:p w14:paraId="3E44E410" w14:textId="77777777" w:rsidR="00E13ED9" w:rsidRDefault="00E13ED9" w:rsidP="00E13ED9">
      <w:pPr>
        <w:pStyle w:val="Kommentartext"/>
      </w:pPr>
      <w:r>
        <w:rPr>
          <w:rStyle w:val="Kommentarzeichen"/>
        </w:rPr>
        <w:annotationRef/>
      </w:r>
      <w:r>
        <w:t xml:space="preserve">Also bei 60% von den Leuten, die SCD haben, wurde dann eine NCD gefunden? Das schließt sich dann ja voneinander aus, weil laut deiner Definition oben SCD nur dann zutrifft, wenn die subjektiv empfundenen Einschränkungen nicht in Tests zu sehen sind? Genau deswegen würde ich mit dieser Definition aufpassen :D Im Endeffekt wurden die Teilnehmenden einfach nur gefragt „fühlen sich sich kognitiv Eingeschränkt?“ Ob da nun tatsächlich eine messbare Einschränkung ist, Wissen wir eben nicht. Deshalb versteife dich lieber nicht auf diese Begriffe mit SCD und MCI und so. </w:t>
      </w:r>
    </w:p>
  </w:comment>
  <w:comment w:id="10" w:author="Rolf Hauffe" w:date="2025-03-24T15:41:00Z" w:initials="RH">
    <w:p w14:paraId="71D5E45A" w14:textId="77777777" w:rsidR="009B3D8C" w:rsidRDefault="009B3D8C" w:rsidP="009B3D8C">
      <w:pPr>
        <w:pStyle w:val="Kommentartext"/>
      </w:pPr>
      <w:r>
        <w:rPr>
          <w:rStyle w:val="Kommentarzeichen"/>
        </w:rPr>
        <w:annotationRef/>
      </w:r>
      <w:r>
        <w:t>Maybe more for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1E2769" w15:done="0"/>
  <w15:commentEx w15:paraId="2456D584" w15:done="0"/>
  <w15:commentEx w15:paraId="3249E559" w15:done="0"/>
  <w15:commentEx w15:paraId="57F04A3E" w15:done="0"/>
  <w15:commentEx w15:paraId="4047CCDB" w15:done="0"/>
  <w15:commentEx w15:paraId="1D8AD27D" w15:done="0"/>
  <w15:commentEx w15:paraId="016FEF88" w15:done="0"/>
  <w15:commentEx w15:paraId="3E44E410" w15:done="0"/>
  <w15:commentEx w15:paraId="71D5E4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8BB3C6" w16cex:dateUtc="2025-03-24T09:34:00Z"/>
  <w16cex:commentExtensible w16cex:durableId="2B8BFB91" w16cex:dateUtc="2025-03-24T14: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1E2769" w16cid:durableId="2B8BB3C6"/>
  <w16cid:commentId w16cid:paraId="2456D584" w16cid:durableId="2B793986"/>
  <w16cid:commentId w16cid:paraId="3249E559" w16cid:durableId="45248A2E"/>
  <w16cid:commentId w16cid:paraId="57F04A3E" w16cid:durableId="2B793A1B"/>
  <w16cid:commentId w16cid:paraId="4047CCDB" w16cid:durableId="0163DA23"/>
  <w16cid:commentId w16cid:paraId="1D8AD27D" w16cid:durableId="2E94386E"/>
  <w16cid:commentId w16cid:paraId="016FEF88" w16cid:durableId="42139DCE"/>
  <w16cid:commentId w16cid:paraId="3E44E410" w16cid:durableId="2B792373"/>
  <w16cid:commentId w16cid:paraId="71D5E45A" w16cid:durableId="2B8BFB9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E8A"/>
    <w:rsid w:val="00062909"/>
    <w:rsid w:val="00200D2D"/>
    <w:rsid w:val="0030152A"/>
    <w:rsid w:val="003B05D4"/>
    <w:rsid w:val="0043406D"/>
    <w:rsid w:val="00520338"/>
    <w:rsid w:val="005C5EAB"/>
    <w:rsid w:val="00611598"/>
    <w:rsid w:val="00614E8A"/>
    <w:rsid w:val="00642B51"/>
    <w:rsid w:val="006C468E"/>
    <w:rsid w:val="00802078"/>
    <w:rsid w:val="009B3D8C"/>
    <w:rsid w:val="00A14D3E"/>
    <w:rsid w:val="00B3314F"/>
    <w:rsid w:val="00B62B2D"/>
    <w:rsid w:val="00CC0956"/>
    <w:rsid w:val="00D475BF"/>
    <w:rsid w:val="00E13E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3C5A"/>
  <w15:chartTrackingRefBased/>
  <w15:docId w15:val="{D6252AD6-3A50-47A3-9448-372FC3143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rsid w:val="0043406D"/>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textZchn">
    <w:name w:val="Kommentartext Zchn"/>
    <w:basedOn w:val="Absatz-Standardschriftart"/>
    <w:link w:val="Kommentartext"/>
    <w:rsid w:val="0043406D"/>
    <w:rPr>
      <w:rFonts w:ascii="Calibri" w:eastAsia="Calibri" w:hAnsi="Calibri" w:cs="Times New Roman"/>
      <w:kern w:val="3"/>
      <w:sz w:val="20"/>
      <w:szCs w:val="20"/>
    </w:rPr>
  </w:style>
  <w:style w:type="character" w:styleId="Kommentarzeichen">
    <w:name w:val="annotation reference"/>
    <w:basedOn w:val="Absatz-Standardschriftart"/>
    <w:rsid w:val="0043406D"/>
    <w:rPr>
      <w:sz w:val="16"/>
      <w:szCs w:val="16"/>
    </w:rPr>
  </w:style>
  <w:style w:type="character" w:styleId="Hyperlink">
    <w:name w:val="Hyperlink"/>
    <w:basedOn w:val="Absatz-Standardschriftart"/>
    <w:uiPriority w:val="99"/>
    <w:semiHidden/>
    <w:unhideWhenUsed/>
    <w:rsid w:val="0043406D"/>
    <w:rPr>
      <w:color w:val="0000FF"/>
      <w:u w:val="single"/>
    </w:rPr>
  </w:style>
  <w:style w:type="character" w:customStyle="1" w:styleId="name">
    <w:name w:val="name"/>
    <w:basedOn w:val="Absatz-Standardschriftart"/>
    <w:rsid w:val="0030152A"/>
  </w:style>
  <w:style w:type="character" w:styleId="Hervorhebung">
    <w:name w:val="Emphasis"/>
    <w:basedOn w:val="Absatz-Standardschriftart"/>
    <w:uiPriority w:val="20"/>
    <w:qFormat/>
    <w:rsid w:val="00200D2D"/>
    <w:rPr>
      <w:i/>
      <w:iCs/>
    </w:rPr>
  </w:style>
  <w:style w:type="character" w:customStyle="1" w:styleId="CommentReference">
    <w:name w:val="Comment Reference"/>
    <w:basedOn w:val="Absatz-Standardschriftart"/>
    <w:rsid w:val="00E13ED9"/>
    <w:rPr>
      <w:sz w:val="16"/>
      <w:szCs w:val="16"/>
    </w:rPr>
  </w:style>
  <w:style w:type="paragraph" w:customStyle="1" w:styleId="CommentText">
    <w:name w:val="Comment Text"/>
    <w:basedOn w:val="Standard"/>
    <w:rsid w:val="00E13ED9"/>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styleId="Fett">
    <w:name w:val="Strong"/>
    <w:basedOn w:val="Absatz-Standardschriftart"/>
    <w:rsid w:val="003B05D4"/>
    <w:rPr>
      <w:b/>
      <w:bCs/>
    </w:rPr>
  </w:style>
  <w:style w:type="paragraph" w:customStyle="1" w:styleId="Kommentartekst">
    <w:name w:val="Kommentartekst"/>
    <w:basedOn w:val="Standard"/>
    <w:rsid w:val="003B05D4"/>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Absatz-Standardschriftart"/>
    <w:rsid w:val="003B05D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content.hogrefe.com/doi/full/10.1024/1016-264X/a000373" TargetMode="External"/><Relationship Id="rId18" Type="http://schemas.openxmlformats.org/officeDocument/2006/relationships/hyperlink" Target="https://econtent.hogrefe.com/doi/full/10.1024/1016-264X/a000373" TargetMode="External"/><Relationship Id="rId26" Type="http://schemas.openxmlformats.org/officeDocument/2006/relationships/hyperlink" Target="https://econtent.hogrefe.com/doi/full/10.1024/1016-264X/a000373" TargetMode="External"/><Relationship Id="rId39" Type="http://schemas.openxmlformats.org/officeDocument/2006/relationships/theme" Target="theme/theme1.xml"/><Relationship Id="rId21" Type="http://schemas.openxmlformats.org/officeDocument/2006/relationships/hyperlink" Target="https://econtent.hogrefe.com/doi/full/10.1024/1016-264X/a000373" TargetMode="External"/><Relationship Id="rId34" Type="http://schemas.openxmlformats.org/officeDocument/2006/relationships/hyperlink" Target="https://www.neurocov.eu/" TargetMode="External"/><Relationship Id="rId7" Type="http://schemas.microsoft.com/office/2016/09/relationships/commentsIds" Target="commentsIds.xml"/><Relationship Id="rId12" Type="http://schemas.openxmlformats.org/officeDocument/2006/relationships/hyperlink" Target="https://econtent.hogrefe.com/doi/full/10.1024/1016-264X/a000373" TargetMode="External"/><Relationship Id="rId17" Type="http://schemas.openxmlformats.org/officeDocument/2006/relationships/hyperlink" Target="https://econtent.hogrefe.com/doi/full/10.1024/1016-264X/a000373" TargetMode="External"/><Relationship Id="rId25" Type="http://schemas.openxmlformats.org/officeDocument/2006/relationships/hyperlink" Target="https://econtent.hogrefe.com/doi/full/10.1024/1016-264X/a000373" TargetMode="External"/><Relationship Id="rId33" Type="http://schemas.openxmlformats.org/officeDocument/2006/relationships/hyperlink" Target="https://econtent.hogrefe.com/doi/full/10.1024/1016-264X/a000373" TargetMode="External"/><Relationship Id="rId38" Type="http://schemas.microsoft.com/office/2011/relationships/people" Target="people.xml"/><Relationship Id="rId2" Type="http://schemas.openxmlformats.org/officeDocument/2006/relationships/settings" Target="settings.xml"/><Relationship Id="rId16" Type="http://schemas.openxmlformats.org/officeDocument/2006/relationships/hyperlink" Target="https://econtent.hogrefe.com/doi/full/10.1024/1016-264X/a000373" TargetMode="External"/><Relationship Id="rId20" Type="http://schemas.openxmlformats.org/officeDocument/2006/relationships/hyperlink" Target="https://econtent.hogrefe.com/doi/full/10.1024/1016-264X/a000373" TargetMode="External"/><Relationship Id="rId29" Type="http://schemas.openxmlformats.org/officeDocument/2006/relationships/hyperlink" Target="https://econtent.hogrefe.com/doi/full/10.1024/1016-264X/a000373" TargetMode="Externa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econtent.hogrefe.com/doi/full/10.1024/1016-264X/a000373" TargetMode="External"/><Relationship Id="rId24" Type="http://schemas.openxmlformats.org/officeDocument/2006/relationships/hyperlink" Target="https://econtent.hogrefe.com/doi/full/10.1024/1016-264X/a000373" TargetMode="External"/><Relationship Id="rId32" Type="http://schemas.openxmlformats.org/officeDocument/2006/relationships/hyperlink" Target="https://econtent.hogrefe.com/doi/full/10.1024/1016-264X/a000373" TargetMode="External"/><Relationship Id="rId37"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econtent.hogrefe.com/doi/full/10.1024/1016-264X/a000373" TargetMode="External"/><Relationship Id="rId23" Type="http://schemas.openxmlformats.org/officeDocument/2006/relationships/hyperlink" Target="https://econtent.hogrefe.com/doi/full/10.1024/1016-264X/a000373" TargetMode="External"/><Relationship Id="rId28" Type="http://schemas.openxmlformats.org/officeDocument/2006/relationships/hyperlink" Target="https://econtent.hogrefe.com/doi/full/10.1024/1016-264X/a000373" TargetMode="External"/><Relationship Id="rId36" Type="http://schemas.openxmlformats.org/officeDocument/2006/relationships/hyperlink" Target="https://econtent.hogrefe.com/doi/full/10.1024/1016-264X/a000373" TargetMode="External"/><Relationship Id="rId10" Type="http://schemas.openxmlformats.org/officeDocument/2006/relationships/hyperlink" Target="https://econtent.hogrefe.com/doi/full/10.1024/1016-264X/a000373" TargetMode="External"/><Relationship Id="rId19" Type="http://schemas.openxmlformats.org/officeDocument/2006/relationships/hyperlink" Target="https://econtent.hogrefe.com/doi/full/10.1024/1016-264X/a000373" TargetMode="External"/><Relationship Id="rId31" Type="http://schemas.openxmlformats.org/officeDocument/2006/relationships/hyperlink" Target="https://econtent.hogrefe.com/doi/full/10.1024/1016-264X/a000373" TargetMode="External"/><Relationship Id="rId4" Type="http://schemas.openxmlformats.org/officeDocument/2006/relationships/hyperlink" Target="https://pmc.ncbi.nlm.nih.gov/articles/PMC11262122/" TargetMode="External"/><Relationship Id="rId9" Type="http://schemas.openxmlformats.org/officeDocument/2006/relationships/hyperlink" Target="https://pubmed.ncbi.nlm.nih.gov/?term=%22Gomzyakova%20N%22%5BAuthor%5D" TargetMode="External"/><Relationship Id="rId14" Type="http://schemas.openxmlformats.org/officeDocument/2006/relationships/hyperlink" Target="https://econtent.hogrefe.com/doi/full/10.1024/1016-264X/a000373" TargetMode="External"/><Relationship Id="rId22" Type="http://schemas.openxmlformats.org/officeDocument/2006/relationships/hyperlink" Target="https://econtent.hogrefe.com/doi/full/10.1024/1016-264X/a000373" TargetMode="External"/><Relationship Id="rId27" Type="http://schemas.openxmlformats.org/officeDocument/2006/relationships/hyperlink" Target="https://econtent.hogrefe.com/doi/full/10.1024/1016-264X/a000373" TargetMode="External"/><Relationship Id="rId30" Type="http://schemas.openxmlformats.org/officeDocument/2006/relationships/hyperlink" Target="https://econtent.hogrefe.com/doi/full/10.1024/1016-264X/a000373" TargetMode="External"/><Relationship Id="rId35" Type="http://schemas.openxmlformats.org/officeDocument/2006/relationships/hyperlink" Target="https://econtent.hogrefe.com/doi/full/10.1024/1016-264X/a000373" TargetMode="External"/><Relationship Id="rId8" Type="http://schemas.microsoft.com/office/2018/08/relationships/commentsExtensible" Target="commentsExtensible.xml"/><Relationship Id="rId3"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2212</Words>
  <Characters>13936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Rolf Hauffe</cp:lastModifiedBy>
  <cp:revision>6</cp:revision>
  <dcterms:created xsi:type="dcterms:W3CDTF">2025-03-26T22:56:00Z</dcterms:created>
  <dcterms:modified xsi:type="dcterms:W3CDTF">2025-03-27T09:19:00Z</dcterms:modified>
</cp:coreProperties>
</file>