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50D7" w14:textId="5BB97E1A" w:rsidR="00E91D61" w:rsidRDefault="00E91D61" w:rsidP="00E91D61">
      <w:pPr>
        <w:jc w:val="both"/>
        <w:rPr>
          <w:rFonts w:ascii="Times New Roman" w:hAnsi="Times New Roman" w:cs="Times New Roman"/>
          <w:sz w:val="24"/>
          <w:szCs w:val="24"/>
          <w:lang w:val="en-US"/>
        </w:rPr>
      </w:pPr>
      <w:r w:rsidRPr="00E91D61">
        <w:rPr>
          <w:rFonts w:ascii="Times New Roman" w:hAnsi="Times New Roman" w:cs="Times New Roman"/>
          <w:sz w:val="24"/>
          <w:szCs w:val="24"/>
          <w:lang w:val="en-US"/>
        </w:rPr>
        <w:t>Lower temporal and parietal rCBF</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were significantly associated with lower parieto-occipital alpha activity, while presence of</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leukoaraiosis was significantly associated with lower relative beta activity and higher absolute</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delta and theta activity</w:t>
      </w:r>
      <w:r>
        <w:rPr>
          <w:rFonts w:ascii="Times New Roman" w:hAnsi="Times New Roman" w:cs="Times New Roman"/>
          <w:sz w:val="24"/>
          <w:szCs w:val="24"/>
          <w:lang w:val="en-US"/>
        </w:rPr>
        <w:t xml:space="preserve"> (Claus et al., 2000). </w:t>
      </w:r>
      <w:r w:rsidRPr="00E91D61">
        <w:rPr>
          <w:rFonts w:ascii="Times New Roman" w:hAnsi="Times New Roman" w:cs="Times New Roman"/>
          <w:sz w:val="24"/>
          <w:szCs w:val="24"/>
          <w:lang w:val="en-US"/>
        </w:rPr>
        <w:t>The preclinical finding that beta activity is found in</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subcortical or lower cortical structures [51–53] may either suggest that neuronal function of</w:t>
      </w:r>
      <w:r>
        <w:rPr>
          <w:rFonts w:ascii="Times New Roman" w:hAnsi="Times New Roman" w:cs="Times New Roman"/>
          <w:sz w:val="24"/>
          <w:szCs w:val="24"/>
          <w:lang w:val="en-US"/>
        </w:rPr>
        <w:t xml:space="preserve"> t</w:t>
      </w:r>
      <w:r w:rsidRPr="00E91D61">
        <w:rPr>
          <w:rFonts w:ascii="Times New Roman" w:hAnsi="Times New Roman" w:cs="Times New Roman"/>
          <w:sz w:val="24"/>
          <w:szCs w:val="24"/>
          <w:lang w:val="en-US"/>
        </w:rPr>
        <w:t>hese brain structures is compromised by the presence of leukoaraiosis or that leukoaraiosis</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results in disconnection of subcortical and cortical structures.</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Thus, the results suggest that leukoaraiosis in AD patients is related to slowing of the EEG,</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evidenced mainly by increase of theta and loss of beta activity</w:t>
      </w:r>
      <w:r>
        <w:rPr>
          <w:rFonts w:ascii="Times New Roman" w:hAnsi="Times New Roman" w:cs="Times New Roman"/>
          <w:sz w:val="24"/>
          <w:szCs w:val="24"/>
          <w:lang w:val="en-US"/>
        </w:rPr>
        <w:t xml:space="preserve"> (Claus et al., 2000).</w:t>
      </w:r>
    </w:p>
    <w:p w14:paraId="7627855B" w14:textId="59D45034" w:rsidR="00E91D61" w:rsidRDefault="00E91D61" w:rsidP="00E91D61">
      <w:pPr>
        <w:jc w:val="both"/>
        <w:rPr>
          <w:rFonts w:ascii="Times New Roman" w:hAnsi="Times New Roman" w:cs="Times New Roman"/>
          <w:sz w:val="24"/>
          <w:szCs w:val="24"/>
          <w:lang w:val="en-US"/>
        </w:rPr>
      </w:pPr>
      <w:r w:rsidRPr="00E91D61">
        <w:rPr>
          <w:rFonts w:ascii="Times New Roman" w:hAnsi="Times New Roman" w:cs="Times New Roman"/>
          <w:sz w:val="24"/>
          <w:szCs w:val="24"/>
          <w:lang w:val="en-US"/>
        </w:rPr>
        <w:t>Topographic analyses of the resting EEG showed a significant increase in delta band power at</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the frontal regions. This finding is consistent with that of previous EEG studies both with</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visual inspection (Liddell 1958; Swain 1959) and with significant probability mapping</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(Miyauchi et al 1989, 1994), in which delta activity was observed predominantly at the frontal</w:t>
      </w:r>
      <w:r>
        <w:rPr>
          <w:rFonts w:ascii="Times New Roman" w:hAnsi="Times New Roman" w:cs="Times New Roman"/>
          <w:sz w:val="24"/>
          <w:szCs w:val="24"/>
          <w:lang w:val="en-US"/>
        </w:rPr>
        <w:t xml:space="preserve"> areas (</w:t>
      </w:r>
      <w:r w:rsidRPr="00E91D61">
        <w:rPr>
          <w:rFonts w:ascii="Times New Roman" w:hAnsi="Times New Roman" w:cs="Times New Roman"/>
          <w:sz w:val="24"/>
          <w:szCs w:val="24"/>
          <w:lang w:val="en-US"/>
        </w:rPr>
        <w:t>Wada, Nanbu, Jiang, Koshino, Yamaguchi &amp; Hashimoto</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1997</w:t>
      </w:r>
      <w:r>
        <w:rPr>
          <w:rFonts w:ascii="Times New Roman" w:hAnsi="Times New Roman" w:cs="Times New Roman"/>
          <w:sz w:val="24"/>
          <w:szCs w:val="24"/>
          <w:lang w:val="en-US"/>
        </w:rPr>
        <w:t>).</w:t>
      </w:r>
    </w:p>
    <w:p w14:paraId="0EDB3CAC" w14:textId="5153AFF3" w:rsidR="00E91D61" w:rsidRDefault="00E91D61" w:rsidP="00E91D61">
      <w:pPr>
        <w:jc w:val="both"/>
        <w:rPr>
          <w:rFonts w:ascii="Times New Roman" w:hAnsi="Times New Roman" w:cs="Times New Roman"/>
          <w:sz w:val="24"/>
          <w:szCs w:val="24"/>
          <w:lang w:val="en-US"/>
        </w:rPr>
      </w:pPr>
      <w:r w:rsidRPr="00E91D61">
        <w:rPr>
          <w:rFonts w:ascii="Times New Roman" w:hAnsi="Times New Roman" w:cs="Times New Roman"/>
          <w:sz w:val="24"/>
          <w:szCs w:val="24"/>
          <w:lang w:val="en-US"/>
        </w:rPr>
        <w:t>The generalized slowing of the neocortical EEG is a characteristic symptom in AD and refers</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to a reduction in desynchronized, activated EEG patterns that are replaced by deactivated,</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synchronized activity</w:t>
      </w:r>
      <w:r w:rsidR="008518C7">
        <w:rPr>
          <w:rFonts w:ascii="Times New Roman" w:hAnsi="Times New Roman" w:cs="Times New Roman"/>
          <w:sz w:val="24"/>
          <w:szCs w:val="24"/>
          <w:lang w:val="en-US"/>
        </w:rPr>
        <w:t xml:space="preserve"> (Dringenberg, 2000).</w:t>
      </w:r>
    </w:p>
    <w:p w14:paraId="1291CB48" w14:textId="7E304000" w:rsidR="008518C7" w:rsidRDefault="008518C7" w:rsidP="00E91D61">
      <w:pPr>
        <w:jc w:val="both"/>
        <w:rPr>
          <w:rFonts w:ascii="Times New Roman" w:hAnsi="Times New Roman" w:cs="Times New Roman"/>
          <w:sz w:val="24"/>
          <w:szCs w:val="24"/>
          <w:lang w:val="en-US"/>
        </w:rPr>
      </w:pPr>
    </w:p>
    <w:p w14:paraId="681118DC" w14:textId="056999AF" w:rsidR="0075122E" w:rsidRDefault="0075122E" w:rsidP="002E28EC">
      <w:pPr>
        <w:jc w:val="both"/>
        <w:rPr>
          <w:rFonts w:ascii="Times New Roman" w:hAnsi="Times New Roman" w:cs="Times New Roman"/>
          <w:sz w:val="24"/>
          <w:szCs w:val="24"/>
          <w:lang w:val="en-US"/>
        </w:rPr>
      </w:pPr>
      <w:r w:rsidRPr="0075122E">
        <w:rPr>
          <w:rFonts w:ascii="Times New Roman" w:hAnsi="Times New Roman" w:cs="Times New Roman"/>
          <w:sz w:val="24"/>
          <w:szCs w:val="24"/>
          <w:lang w:val="en-US"/>
        </w:rPr>
        <w:t>What is the physiological significance of the changes observed in the spectral power of delta,</w:t>
      </w:r>
      <w:r>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theta, alpha, and beta rhythms in individuals with SCD? The alterations in the high and low</w:t>
      </w:r>
      <w:r>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components of the delta rhythms, indicative of a healthy brain, are thought to be influenced by</w:t>
      </w:r>
      <w:r>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inhibiting oscillators within the reticulo-thalamic (7–14 Hz), thalamo-cortical (1–4 Hz), and</w:t>
      </w:r>
      <w:r>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intracortical (&lt;1 Hz) neural circuits (Steriade, 2006).</w:t>
      </w:r>
      <w:r>
        <w:rPr>
          <w:rFonts w:ascii="Times New Roman" w:hAnsi="Times New Roman" w:cs="Times New Roman"/>
          <w:sz w:val="24"/>
          <w:szCs w:val="24"/>
          <w:lang w:val="en-US"/>
        </w:rPr>
        <w:t xml:space="preserve"> </w:t>
      </w:r>
      <w:r w:rsidR="002E28EC">
        <w:rPr>
          <w:rFonts w:ascii="Times New Roman" w:hAnsi="Times New Roman" w:cs="Times New Roman"/>
          <w:sz w:val="24"/>
          <w:szCs w:val="24"/>
          <w:lang w:val="en-US"/>
        </w:rPr>
        <w:t>M</w:t>
      </w:r>
      <w:r w:rsidRPr="0075122E">
        <w:rPr>
          <w:rFonts w:ascii="Times New Roman" w:hAnsi="Times New Roman" w:cs="Times New Roman"/>
          <w:sz w:val="24"/>
          <w:szCs w:val="24"/>
          <w:lang w:val="en-US"/>
        </w:rPr>
        <w:t>oreover, it has been proposed that</w:t>
      </w:r>
      <w:r w:rsidR="002E28EC">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thalamo-cortical circuits play a role in the generation and modulation of theta rhythms. Thus,</w:t>
      </w:r>
      <w:r w:rsidR="002E28EC">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it is plausible to hypothesize that diminished activation of neurons, possibly due to</w:t>
      </w:r>
      <w:r w:rsidR="002E28EC">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acetylcholine reduction or synaptic damage, can impact inhibitory and excitatory cortical</w:t>
      </w:r>
      <w:r w:rsidR="002E28EC">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feedback interactions that are crucial for generating cortical rsEEG rhythms. This disruption</w:t>
      </w:r>
      <w:r w:rsidR="002E28EC">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may influence the regulation of overall brain arousal, the balance of cortical</w:t>
      </w:r>
      <w:r>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inhibition/excitation, and vigilance, potentially resulting in a decrease in spectral power across</w:t>
      </w:r>
      <w:r w:rsidR="002E28EC">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the delta and theta bands.</w:t>
      </w:r>
      <w:r w:rsidR="002E28EC">
        <w:rPr>
          <w:rFonts w:ascii="Times New Roman" w:hAnsi="Times New Roman" w:cs="Times New Roman"/>
          <w:sz w:val="24"/>
          <w:szCs w:val="24"/>
          <w:lang w:val="en-US"/>
        </w:rPr>
        <w:t xml:space="preserve"> </w:t>
      </w:r>
      <w:r w:rsidR="002E28EC" w:rsidRPr="002E28EC">
        <w:rPr>
          <w:rFonts w:ascii="Times New Roman" w:hAnsi="Times New Roman" w:cs="Times New Roman"/>
          <w:sz w:val="24"/>
          <w:szCs w:val="24"/>
          <w:lang w:val="en-US"/>
        </w:rPr>
        <w:t>Furthermore, beta rhythms may be associated with the regulation of thalamocortical flow,</w:t>
      </w:r>
      <w:r w:rsidR="002E28EC">
        <w:rPr>
          <w:rFonts w:ascii="Times New Roman" w:hAnsi="Times New Roman" w:cs="Times New Roman"/>
          <w:sz w:val="24"/>
          <w:szCs w:val="24"/>
          <w:lang w:val="en-US"/>
        </w:rPr>
        <w:t xml:space="preserve"> </w:t>
      </w:r>
      <w:r w:rsidR="002E28EC" w:rsidRPr="002E28EC">
        <w:rPr>
          <w:rFonts w:ascii="Times New Roman" w:hAnsi="Times New Roman" w:cs="Times New Roman"/>
          <w:sz w:val="24"/>
          <w:szCs w:val="24"/>
          <w:lang w:val="en-US"/>
        </w:rPr>
        <w:t>encompassing commands, images, and motor plans through the basal ganglia and motor</w:t>
      </w:r>
      <w:r w:rsidR="002E28EC">
        <w:rPr>
          <w:rFonts w:ascii="Times New Roman" w:hAnsi="Times New Roman" w:cs="Times New Roman"/>
          <w:sz w:val="24"/>
          <w:szCs w:val="24"/>
          <w:lang w:val="en-US"/>
        </w:rPr>
        <w:t xml:space="preserve"> </w:t>
      </w:r>
      <w:r w:rsidR="002E28EC" w:rsidRPr="002E28EC">
        <w:rPr>
          <w:rFonts w:ascii="Times New Roman" w:hAnsi="Times New Roman" w:cs="Times New Roman"/>
          <w:sz w:val="24"/>
          <w:szCs w:val="24"/>
          <w:lang w:val="en-US"/>
        </w:rPr>
        <w:t>thalamus (Oswal et al., 2013). As mentioned previously, Iliadou et al. (2021) found distinct alpha and beta rhythm patterns from those found in other</w:t>
      </w:r>
      <w:r w:rsidR="002E28EC">
        <w:rPr>
          <w:rFonts w:ascii="Times New Roman" w:hAnsi="Times New Roman" w:cs="Times New Roman"/>
          <w:sz w:val="24"/>
          <w:szCs w:val="24"/>
          <w:lang w:val="en-US"/>
        </w:rPr>
        <w:t xml:space="preserve"> </w:t>
      </w:r>
      <w:r w:rsidR="002E28EC" w:rsidRPr="002E28EC">
        <w:rPr>
          <w:rFonts w:ascii="Times New Roman" w:hAnsi="Times New Roman" w:cs="Times New Roman"/>
          <w:sz w:val="24"/>
          <w:szCs w:val="24"/>
          <w:lang w:val="en-US"/>
        </w:rPr>
        <w:t>studies reviewed. These authors suggested that the psychophysiological changes observed in</w:t>
      </w:r>
      <w:r w:rsidR="002E28EC">
        <w:rPr>
          <w:rFonts w:ascii="Times New Roman" w:hAnsi="Times New Roman" w:cs="Times New Roman"/>
          <w:sz w:val="24"/>
          <w:szCs w:val="24"/>
          <w:lang w:val="en-US"/>
        </w:rPr>
        <w:t xml:space="preserve"> </w:t>
      </w:r>
      <w:r w:rsidR="002E28EC" w:rsidRPr="002E28EC">
        <w:rPr>
          <w:rFonts w:ascii="Times New Roman" w:hAnsi="Times New Roman" w:cs="Times New Roman"/>
          <w:sz w:val="24"/>
          <w:szCs w:val="24"/>
          <w:lang w:val="en-US"/>
        </w:rPr>
        <w:t>the SCD in their study may reflect an initial compensatory process in response to early</w:t>
      </w:r>
      <w:r w:rsidR="002E28EC">
        <w:rPr>
          <w:rFonts w:ascii="Times New Roman" w:hAnsi="Times New Roman" w:cs="Times New Roman"/>
          <w:sz w:val="24"/>
          <w:szCs w:val="24"/>
          <w:lang w:val="en-US"/>
        </w:rPr>
        <w:t xml:space="preserve"> </w:t>
      </w:r>
      <w:r w:rsidR="002E28EC" w:rsidRPr="002E28EC">
        <w:rPr>
          <w:rFonts w:ascii="Times New Roman" w:hAnsi="Times New Roman" w:cs="Times New Roman"/>
          <w:sz w:val="24"/>
          <w:szCs w:val="24"/>
          <w:lang w:val="en-US"/>
        </w:rPr>
        <w:t>cognitive impairment</w:t>
      </w:r>
      <w:r w:rsidR="002E28EC">
        <w:rPr>
          <w:rFonts w:ascii="Times New Roman" w:hAnsi="Times New Roman" w:cs="Times New Roman"/>
          <w:sz w:val="24"/>
          <w:szCs w:val="24"/>
          <w:lang w:val="en-US"/>
        </w:rPr>
        <w:t>. from P</w:t>
      </w:r>
      <w:r w:rsidR="002E28EC" w:rsidRPr="002E28EC">
        <w:rPr>
          <w:rFonts w:ascii="Times New Roman" w:hAnsi="Times New Roman" w:cs="Times New Roman"/>
          <w:sz w:val="24"/>
          <w:szCs w:val="24"/>
          <w:lang w:val="en-US"/>
        </w:rPr>
        <w:t>erez, Duque, Hidalgo &amp; Salvador, 2024</w:t>
      </w:r>
      <w:r w:rsidR="002E28EC">
        <w:rPr>
          <w:rFonts w:ascii="Times New Roman" w:hAnsi="Times New Roman" w:cs="Times New Roman"/>
          <w:sz w:val="24"/>
          <w:szCs w:val="24"/>
          <w:lang w:val="en-US"/>
        </w:rPr>
        <w:t>.</w:t>
      </w:r>
    </w:p>
    <w:p w14:paraId="25B19F72" w14:textId="2A3E9B1A" w:rsidR="00F87B38" w:rsidRDefault="00F87B38" w:rsidP="002E28EC">
      <w:pPr>
        <w:jc w:val="both"/>
        <w:rPr>
          <w:rFonts w:ascii="Times New Roman" w:hAnsi="Times New Roman" w:cs="Times New Roman"/>
          <w:sz w:val="24"/>
          <w:szCs w:val="24"/>
          <w:lang w:val="en-US"/>
        </w:rPr>
      </w:pPr>
    </w:p>
    <w:p w14:paraId="2848B1A1" w14:textId="77777777" w:rsidR="00637244" w:rsidRDefault="00F87B38" w:rsidP="002E28E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Ortelli et al., 2023: </w:t>
      </w:r>
    </w:p>
    <w:p w14:paraId="3ED1013F" w14:textId="56A3EDDF" w:rsidR="00F87B38" w:rsidRPr="006D7CAF" w:rsidRDefault="00637244" w:rsidP="002E28EC">
      <w:pPr>
        <w:jc w:val="both"/>
        <w:rPr>
          <w:lang w:val="en-US"/>
        </w:rPr>
      </w:pPr>
      <w:r>
        <w:rPr>
          <w:rFonts w:ascii="Times New Roman" w:hAnsi="Times New Roman" w:cs="Times New Roman"/>
          <w:sz w:val="24"/>
          <w:szCs w:val="24"/>
          <w:lang w:val="en-US"/>
        </w:rPr>
        <w:t xml:space="preserve">Introduction: </w:t>
      </w:r>
      <w:r w:rsidR="00F87B38" w:rsidRPr="006D7CAF">
        <w:rPr>
          <w:lang w:val="en-US"/>
        </w:rPr>
        <w:t>Cognitive impairment is very often associated with fatigue, associated with a plethora of symptoms that could be interpreted as “brain fog”. No “universally accepted” definition of “brain fog” has yet been established [</w:t>
      </w:r>
      <w:hyperlink r:id="rId4" w:anchor="B4-biomedicines-11-02228" w:history="1">
        <w:r w:rsidR="00F87B38" w:rsidRPr="006D7CAF">
          <w:rPr>
            <w:rStyle w:val="Hyperlink"/>
            <w:lang w:val="en-US"/>
          </w:rPr>
          <w:t>4</w:t>
        </w:r>
      </w:hyperlink>
      <w:r w:rsidR="00F87B38" w:rsidRPr="006D7CAF">
        <w:rPr>
          <w:lang w:val="en-US"/>
        </w:rPr>
        <w:t>]. In PCS patients (PCS-pts), previous studies reported specific deficits in sustained and selective attention, abstraction, inhibition, set shifting, learning and long-term memory [</w:t>
      </w:r>
      <w:hyperlink r:id="rId5" w:anchor="B3-biomedicines-11-02228" w:history="1">
        <w:r w:rsidR="00F87B38" w:rsidRPr="006D7CAF">
          <w:rPr>
            <w:rStyle w:val="Hyperlink"/>
            <w:lang w:val="en-US"/>
          </w:rPr>
          <w:t>3</w:t>
        </w:r>
      </w:hyperlink>
      <w:r w:rsidR="00F87B38" w:rsidRPr="006D7CAF">
        <w:rPr>
          <w:lang w:val="en-US"/>
        </w:rPr>
        <w:t>,</w:t>
      </w:r>
      <w:hyperlink r:id="rId6" w:anchor="B5-biomedicines-11-02228" w:history="1">
        <w:r w:rsidR="00F87B38" w:rsidRPr="006D7CAF">
          <w:rPr>
            <w:rStyle w:val="Hyperlink"/>
            <w:lang w:val="en-US"/>
          </w:rPr>
          <w:t>5</w:t>
        </w:r>
      </w:hyperlink>
      <w:r w:rsidR="00F87B38" w:rsidRPr="006D7CAF">
        <w:rPr>
          <w:lang w:val="en-US"/>
        </w:rPr>
        <w:t>,</w:t>
      </w:r>
      <w:hyperlink r:id="rId7" w:anchor="B6-biomedicines-11-02228" w:history="1">
        <w:r w:rsidR="00F87B38" w:rsidRPr="006D7CAF">
          <w:rPr>
            <w:rStyle w:val="Hyperlink"/>
            <w:lang w:val="en-US"/>
          </w:rPr>
          <w:t>6</w:t>
        </w:r>
      </w:hyperlink>
      <w:r w:rsidR="00F87B38" w:rsidRPr="006D7CAF">
        <w:rPr>
          <w:lang w:val="en-US"/>
        </w:rPr>
        <w:t>]. Part of these deficits may be related to intrinsic aspects of fatigue; in fact, lack of energy, muscle weakness, as well as global slowing in reaction times, could ultimately impact executive functions [</w:t>
      </w:r>
      <w:hyperlink r:id="rId8" w:anchor="B3-biomedicines-11-02228" w:history="1">
        <w:r w:rsidR="00F87B38" w:rsidRPr="006D7CAF">
          <w:rPr>
            <w:rStyle w:val="Hyperlink"/>
            <w:lang w:val="en-US"/>
          </w:rPr>
          <w:t>3</w:t>
        </w:r>
      </w:hyperlink>
      <w:r w:rsidR="00F87B38" w:rsidRPr="006D7CAF">
        <w:rPr>
          <w:lang w:val="en-US"/>
        </w:rPr>
        <w:t>,</w:t>
      </w:r>
      <w:hyperlink r:id="rId9" w:anchor="B7-biomedicines-11-02228" w:history="1">
        <w:r w:rsidR="00F87B38" w:rsidRPr="006D7CAF">
          <w:rPr>
            <w:rStyle w:val="Hyperlink"/>
            <w:lang w:val="en-US"/>
          </w:rPr>
          <w:t>7</w:t>
        </w:r>
      </w:hyperlink>
      <w:r w:rsidR="00F87B38" w:rsidRPr="006D7CAF">
        <w:rPr>
          <w:lang w:val="en-US"/>
        </w:rPr>
        <w:t>,</w:t>
      </w:r>
      <w:hyperlink r:id="rId10" w:anchor="B8-biomedicines-11-02228" w:history="1">
        <w:r w:rsidR="00F87B38" w:rsidRPr="006D7CAF">
          <w:rPr>
            <w:rStyle w:val="Hyperlink"/>
            <w:lang w:val="en-US"/>
          </w:rPr>
          <w:t>8</w:t>
        </w:r>
      </w:hyperlink>
      <w:r w:rsidR="00F87B38" w:rsidRPr="006D7CAF">
        <w:rPr>
          <w:lang w:val="en-US"/>
        </w:rPr>
        <w:t>,</w:t>
      </w:r>
      <w:hyperlink r:id="rId11" w:anchor="B9-biomedicines-11-02228" w:history="1">
        <w:r w:rsidR="00F87B38" w:rsidRPr="006D7CAF">
          <w:rPr>
            <w:rStyle w:val="Hyperlink"/>
            <w:lang w:val="en-US"/>
          </w:rPr>
          <w:t>9</w:t>
        </w:r>
      </w:hyperlink>
      <w:r w:rsidR="00F87B38" w:rsidRPr="006D7CAF">
        <w:rPr>
          <w:lang w:val="en-US"/>
        </w:rPr>
        <w:t>].</w:t>
      </w:r>
    </w:p>
    <w:p w14:paraId="4EE8FF93" w14:textId="70CECD6C" w:rsidR="00F87B38" w:rsidRPr="006D7CAF" w:rsidRDefault="00F87B38" w:rsidP="002E28EC">
      <w:pPr>
        <w:jc w:val="both"/>
        <w:rPr>
          <w:lang w:val="en-US"/>
        </w:rPr>
      </w:pPr>
      <w:r w:rsidRPr="006D7CAF">
        <w:rPr>
          <w:lang w:val="en-US"/>
        </w:rPr>
        <w:lastRenderedPageBreak/>
        <w:t>Currently, the neural basis underlying cognitive deficits and fatigue in PCS is not yet fully understood. Previous studies have indicated that the neural basis of cognitive impairment and fatigue in PCS may involve a combination of factors, including neuroinflammation, immune system dysfunctions and dysregulation of the autonomic nervous system [</w:t>
      </w:r>
      <w:hyperlink r:id="rId12" w:anchor="B10-biomedicines-11-02228" w:history="1">
        <w:r w:rsidRPr="006D7CAF">
          <w:rPr>
            <w:rStyle w:val="Hyperlink"/>
            <w:lang w:val="en-US"/>
          </w:rPr>
          <w:t>10</w:t>
        </w:r>
      </w:hyperlink>
      <w:r w:rsidRPr="006D7CAF">
        <w:rPr>
          <w:lang w:val="en-US"/>
        </w:rPr>
        <w:t>,</w:t>
      </w:r>
      <w:hyperlink r:id="rId13" w:anchor="B11-biomedicines-11-02228" w:history="1">
        <w:r w:rsidRPr="006D7CAF">
          <w:rPr>
            <w:rStyle w:val="Hyperlink"/>
            <w:lang w:val="en-US"/>
          </w:rPr>
          <w:t>11</w:t>
        </w:r>
      </w:hyperlink>
      <w:r w:rsidRPr="006D7CAF">
        <w:rPr>
          <w:lang w:val="en-US"/>
        </w:rPr>
        <w:t>,</w:t>
      </w:r>
      <w:hyperlink r:id="rId14" w:anchor="B12-biomedicines-11-02228" w:history="1">
        <w:r w:rsidRPr="006D7CAF">
          <w:rPr>
            <w:rStyle w:val="Hyperlink"/>
            <w:lang w:val="en-US"/>
          </w:rPr>
          <w:t>12</w:t>
        </w:r>
      </w:hyperlink>
      <w:r w:rsidRPr="006D7CAF">
        <w:rPr>
          <w:lang w:val="en-US"/>
        </w:rPr>
        <w:t>]. Neuroinflammation, triggered by the binding of the SARS-CoV-2 virus to angiotensin-converting enzyme 2 (ACE2) receptors in the brain, leads to a cytokine storm and activation of microglia, astrocytes and oligodendrocytes. This inflammatory response can result in a reduction in myelinated axons, impairment of hippocampal neurogenesis and overall disruption of neural circuit functions, thereby contributing to cognitive impairment.</w:t>
      </w:r>
    </w:p>
    <w:p w14:paraId="48AB8A77" w14:textId="64BEE11E" w:rsidR="00F87B38" w:rsidRPr="006D7CAF" w:rsidRDefault="00F87B38" w:rsidP="002E28EC">
      <w:pPr>
        <w:jc w:val="both"/>
        <w:rPr>
          <w:lang w:val="en-US"/>
        </w:rPr>
      </w:pPr>
      <w:r w:rsidRPr="006D7CAF">
        <w:rPr>
          <w:lang w:val="en-US"/>
        </w:rPr>
        <w:t>It is known that an imbalance between pro-inflammatory and anti-inflammatory factors could represent a possible basis for understanding the pathophysiology of cognitive impairment, together with alterations in brain activity, in several chronic diseases (as has been demonstrated, for example, in migraine and neuropathic pain). Therefore, it is conceivable that chronic inflammation in PCS-pts “stresses” the neuronal activities, leading in turn to brain network dysfunctions and cognitive impairment [</w:t>
      </w:r>
      <w:hyperlink r:id="rId15" w:anchor="B19-biomedicines-11-02228" w:history="1">
        <w:r w:rsidRPr="006D7CAF">
          <w:rPr>
            <w:rStyle w:val="Hyperlink"/>
            <w:lang w:val="en-US"/>
          </w:rPr>
          <w:t>19</w:t>
        </w:r>
      </w:hyperlink>
      <w:r w:rsidRPr="006D7CAF">
        <w:rPr>
          <w:lang w:val="en-US"/>
        </w:rPr>
        <w:t>]. Additionally, functional abnormalities have been observed in various brain regions, including the frontal lobe structures, olfactory cortices, limbic system and prefrontal cortex [</w:t>
      </w:r>
      <w:hyperlink r:id="rId16" w:anchor="B13-biomedicines-11-02228" w:history="1">
        <w:r w:rsidRPr="006D7CAF">
          <w:rPr>
            <w:rStyle w:val="Hyperlink"/>
            <w:lang w:val="en-US"/>
          </w:rPr>
          <w:t>13</w:t>
        </w:r>
      </w:hyperlink>
      <w:r w:rsidRPr="006D7CAF">
        <w:rPr>
          <w:lang w:val="en-US"/>
        </w:rPr>
        <w:t>,</w:t>
      </w:r>
      <w:hyperlink r:id="rId17" w:anchor="B14-biomedicines-11-02228" w:history="1">
        <w:r w:rsidRPr="006D7CAF">
          <w:rPr>
            <w:rStyle w:val="Hyperlink"/>
            <w:lang w:val="en-US"/>
          </w:rPr>
          <w:t>14</w:t>
        </w:r>
      </w:hyperlink>
      <w:r w:rsidRPr="006D7CAF">
        <w:rPr>
          <w:lang w:val="en-US"/>
        </w:rPr>
        <w:t>,</w:t>
      </w:r>
      <w:hyperlink r:id="rId18" w:anchor="B15-biomedicines-11-02228" w:history="1">
        <w:r w:rsidRPr="006D7CAF">
          <w:rPr>
            <w:rStyle w:val="Hyperlink"/>
            <w:lang w:val="en-US"/>
          </w:rPr>
          <w:t>15</w:t>
        </w:r>
      </w:hyperlink>
      <w:r w:rsidRPr="006D7CAF">
        <w:rPr>
          <w:lang w:val="en-US"/>
        </w:rPr>
        <w:t>,</w:t>
      </w:r>
      <w:hyperlink r:id="rId19" w:anchor="B16-biomedicines-11-02228" w:history="1">
        <w:r w:rsidRPr="006D7CAF">
          <w:rPr>
            <w:rStyle w:val="Hyperlink"/>
            <w:lang w:val="en-US"/>
          </w:rPr>
          <w:t>16</w:t>
        </w:r>
      </w:hyperlink>
      <w:r w:rsidRPr="006D7CAF">
        <w:rPr>
          <w:lang w:val="en-US"/>
        </w:rPr>
        <w:t>,</w:t>
      </w:r>
      <w:hyperlink r:id="rId20" w:anchor="B17-biomedicines-11-02228" w:history="1">
        <w:r w:rsidRPr="006D7CAF">
          <w:rPr>
            <w:rStyle w:val="Hyperlink"/>
            <w:lang w:val="en-US"/>
          </w:rPr>
          <w:t>17</w:t>
        </w:r>
      </w:hyperlink>
      <w:r w:rsidRPr="006D7CAF">
        <w:rPr>
          <w:lang w:val="en-US"/>
        </w:rPr>
        <w:t>,</w:t>
      </w:r>
      <w:hyperlink r:id="rId21" w:anchor="B18-biomedicines-11-02228" w:history="1">
        <w:r w:rsidRPr="006D7CAF">
          <w:rPr>
            <w:rStyle w:val="Hyperlink"/>
            <w:lang w:val="en-US"/>
          </w:rPr>
          <w:t>18</w:t>
        </w:r>
      </w:hyperlink>
      <w:r w:rsidRPr="006D7CAF">
        <w:rPr>
          <w:lang w:val="en-US"/>
        </w:rPr>
        <w:t>]. These regions are known to be involved in attention, memory, executive functions and emotional processing</w:t>
      </w:r>
      <w:r w:rsidR="00637244" w:rsidRPr="006D7CAF">
        <w:rPr>
          <w:lang w:val="en-US"/>
        </w:rPr>
        <w:t>.</w:t>
      </w:r>
    </w:p>
    <w:p w14:paraId="09CF3356" w14:textId="3FDB0574" w:rsidR="00637244" w:rsidRPr="006D7CAF" w:rsidRDefault="00637244" w:rsidP="002E28EC">
      <w:pPr>
        <w:jc w:val="both"/>
        <w:rPr>
          <w:lang w:val="en-US"/>
        </w:rPr>
      </w:pPr>
      <w:r w:rsidRPr="006D7CAF">
        <w:rPr>
          <w:lang w:val="en-US"/>
        </w:rPr>
        <w:t>Electroencephalography (EEG) studies have also provided insights into the neurophysiological impact of SARS-CoV-2 infection, revealing changes in brain electrical activity that correlate with cognitive deficits in PCS patients [</w:t>
      </w:r>
      <w:hyperlink r:id="rId22" w:anchor="B17-biomedicines-11-02228" w:history="1">
        <w:r w:rsidRPr="006D7CAF">
          <w:rPr>
            <w:rStyle w:val="Hyperlink"/>
            <w:lang w:val="en-US"/>
          </w:rPr>
          <w:t>17</w:t>
        </w:r>
      </w:hyperlink>
      <w:r w:rsidRPr="006D7CAF">
        <w:rPr>
          <w:lang w:val="en-US"/>
        </w:rPr>
        <w:t>,</w:t>
      </w:r>
      <w:hyperlink r:id="rId23" w:anchor="B20-biomedicines-11-02228" w:history="1">
        <w:r w:rsidRPr="006D7CAF">
          <w:rPr>
            <w:rStyle w:val="Hyperlink"/>
            <w:lang w:val="en-US"/>
          </w:rPr>
          <w:t>20</w:t>
        </w:r>
      </w:hyperlink>
      <w:r w:rsidRPr="006D7CAF">
        <w:rPr>
          <w:lang w:val="en-US"/>
        </w:rPr>
        <w:t>,</w:t>
      </w:r>
      <w:hyperlink r:id="rId24" w:anchor="B21-biomedicines-11-02228" w:history="1">
        <w:r w:rsidRPr="006D7CAF">
          <w:rPr>
            <w:rStyle w:val="Hyperlink"/>
            <w:lang w:val="en-US"/>
          </w:rPr>
          <w:t>21</w:t>
        </w:r>
      </w:hyperlink>
      <w:r w:rsidRPr="006D7CAF">
        <w:rPr>
          <w:lang w:val="en-US"/>
        </w:rPr>
        <w:t>,</w:t>
      </w:r>
      <w:hyperlink r:id="rId25" w:anchor="B22-biomedicines-11-02228" w:history="1">
        <w:r w:rsidRPr="006D7CAF">
          <w:rPr>
            <w:rStyle w:val="Hyperlink"/>
            <w:lang w:val="en-US"/>
          </w:rPr>
          <w:t>22</w:t>
        </w:r>
      </w:hyperlink>
      <w:r w:rsidRPr="006D7CAF">
        <w:rPr>
          <w:lang w:val="en-US"/>
        </w:rPr>
        <w:t>,</w:t>
      </w:r>
      <w:hyperlink r:id="rId26" w:anchor="B23-biomedicines-11-02228" w:history="1">
        <w:r w:rsidRPr="006D7CAF">
          <w:rPr>
            <w:rStyle w:val="Hyperlink"/>
            <w:lang w:val="en-US"/>
          </w:rPr>
          <w:t>23</w:t>
        </w:r>
      </w:hyperlink>
      <w:r w:rsidRPr="006D7CAF">
        <w:rPr>
          <w:lang w:val="en-US"/>
        </w:rPr>
        <w:t>,</w:t>
      </w:r>
      <w:hyperlink r:id="rId27" w:anchor="B24-biomedicines-11-02228" w:history="1">
        <w:r w:rsidRPr="006D7CAF">
          <w:rPr>
            <w:rStyle w:val="Hyperlink"/>
            <w:lang w:val="en-US"/>
          </w:rPr>
          <w:t>24</w:t>
        </w:r>
      </w:hyperlink>
      <w:r w:rsidRPr="006D7CAF">
        <w:rPr>
          <w:lang w:val="en-US"/>
        </w:rPr>
        <w:t>,</w:t>
      </w:r>
      <w:hyperlink r:id="rId28" w:anchor="B25-biomedicines-11-02228" w:history="1">
        <w:r w:rsidRPr="006D7CAF">
          <w:rPr>
            <w:rStyle w:val="Hyperlink"/>
            <w:lang w:val="en-US"/>
          </w:rPr>
          <w:t>25</w:t>
        </w:r>
      </w:hyperlink>
      <w:r w:rsidRPr="006D7CAF">
        <w:rPr>
          <w:lang w:val="en-US"/>
        </w:rPr>
        <w:t>].</w:t>
      </w:r>
    </w:p>
    <w:p w14:paraId="506CF6F3" w14:textId="69E96E7C" w:rsidR="00637244" w:rsidRPr="006D7CAF" w:rsidRDefault="00637244" w:rsidP="002E28EC">
      <w:pPr>
        <w:jc w:val="both"/>
        <w:rPr>
          <w:lang w:val="en-US"/>
        </w:rPr>
      </w:pPr>
      <w:r w:rsidRPr="006D7CAF">
        <w:rPr>
          <w:lang w:val="en-US"/>
        </w:rPr>
        <w:t>Investigating the neural substrates of cognitive deficits and fatigue in PCS patients can provide valuable insights into the pathophysiology of this condition and open the way to the development of targeted interventions for affected individuals. The EEG patterns of PCS-pts were evaluated with different types of analyses, from common power spectrum and event-related potentials (ERPs) [</w:t>
      </w:r>
      <w:hyperlink r:id="rId29" w:anchor="B17-biomedicines-11-02228" w:history="1">
        <w:r w:rsidRPr="006D7CAF">
          <w:rPr>
            <w:rStyle w:val="Hyperlink"/>
            <w:lang w:val="en-US"/>
          </w:rPr>
          <w:t>17</w:t>
        </w:r>
      </w:hyperlink>
      <w:r w:rsidRPr="006D7CAF">
        <w:rPr>
          <w:lang w:val="en-US"/>
        </w:rPr>
        <w:t>,</w:t>
      </w:r>
      <w:hyperlink r:id="rId30" w:anchor="B20-biomedicines-11-02228" w:history="1">
        <w:r w:rsidRPr="006D7CAF">
          <w:rPr>
            <w:rStyle w:val="Hyperlink"/>
            <w:lang w:val="en-US"/>
          </w:rPr>
          <w:t>20</w:t>
        </w:r>
      </w:hyperlink>
      <w:r w:rsidRPr="006D7CAF">
        <w:rPr>
          <w:lang w:val="en-US"/>
        </w:rPr>
        <w:t>,</w:t>
      </w:r>
      <w:hyperlink r:id="rId31" w:anchor="B22-biomedicines-11-02228" w:history="1">
        <w:r w:rsidRPr="006D7CAF">
          <w:rPr>
            <w:rStyle w:val="Hyperlink"/>
            <w:lang w:val="en-US"/>
          </w:rPr>
          <w:t>22</w:t>
        </w:r>
      </w:hyperlink>
      <w:r w:rsidRPr="006D7CAF">
        <w:rPr>
          <w:lang w:val="en-US"/>
        </w:rPr>
        <w:t>] to more complex brain dynamic analyses, such as intrinsic mode functions (IMFs) and avalanche analysis [</w:t>
      </w:r>
      <w:hyperlink r:id="rId32" w:anchor="B21-biomedicines-11-02228" w:history="1">
        <w:r w:rsidRPr="006D7CAF">
          <w:rPr>
            <w:rStyle w:val="Hyperlink"/>
            <w:lang w:val="en-US"/>
          </w:rPr>
          <w:t>21</w:t>
        </w:r>
      </w:hyperlink>
      <w:r w:rsidRPr="006D7CAF">
        <w:rPr>
          <w:lang w:val="en-US"/>
        </w:rPr>
        <w:t>,</w:t>
      </w:r>
      <w:hyperlink r:id="rId33" w:anchor="B23-biomedicines-11-02228" w:history="1">
        <w:r w:rsidRPr="006D7CAF">
          <w:rPr>
            <w:rStyle w:val="Hyperlink"/>
            <w:lang w:val="en-US"/>
          </w:rPr>
          <w:t>23</w:t>
        </w:r>
      </w:hyperlink>
      <w:r w:rsidRPr="006D7CAF">
        <w:rPr>
          <w:lang w:val="en-US"/>
        </w:rPr>
        <w:t>].</w:t>
      </w:r>
    </w:p>
    <w:p w14:paraId="3B406928" w14:textId="061E000E" w:rsidR="00637244" w:rsidRPr="006D7CAF" w:rsidRDefault="00637244" w:rsidP="002E28EC">
      <w:pPr>
        <w:jc w:val="both"/>
        <w:rPr>
          <w:lang w:val="en-US"/>
        </w:rPr>
      </w:pPr>
      <w:r w:rsidRPr="006D7CAF">
        <w:rPr>
          <w:highlight w:val="yellow"/>
          <w:lang w:val="en-US"/>
        </w:rPr>
        <w:t>Results:</w:t>
      </w:r>
      <w:r w:rsidRPr="006D7CAF">
        <w:rPr>
          <w:lang w:val="en-US"/>
        </w:rPr>
        <w:t xml:space="preserve"> The statistical analysis of current source density revealed significant differences between PCS-pts and HCs in the delta frequency band (mean CSDs: PCS-pts: 1.18, HCs: 5.86; 142 voxels), with PCS-pts exhibiting reduced activity compared to HCs (log-F-ratio threshold = −2.156, </w:t>
      </w:r>
      <w:r w:rsidRPr="006D7CAF">
        <w:rPr>
          <w:rStyle w:val="Emphasis"/>
          <w:lang w:val="en-US"/>
        </w:rPr>
        <w:t>p</w:t>
      </w:r>
      <w:r w:rsidRPr="006D7CAF">
        <w:rPr>
          <w:lang w:val="en-US"/>
        </w:rPr>
        <w:t>-corrected = 0.0006, one-tailed). No other significant differences in source localization were found between PCS-pts and HCs. In PCS-pts, reduced delta activity was distributed bilaterally over the frontal–parietal lobe and in the left temporal lobe, with the postcentral gyrus showing the highest current density difference.</w:t>
      </w:r>
    </w:p>
    <w:p w14:paraId="47F4D1F5" w14:textId="1316D6BD" w:rsidR="00BC3983" w:rsidRPr="006D7CAF" w:rsidRDefault="00BC3983" w:rsidP="002E28EC">
      <w:pPr>
        <w:jc w:val="both"/>
        <w:rPr>
          <w:lang w:val="en-US"/>
        </w:rPr>
      </w:pPr>
      <w:r w:rsidRPr="006D7CAF">
        <w:rPr>
          <w:lang w:val="en-US"/>
        </w:rPr>
        <w:t>In the present study, we demonstrated changes in brain source activity at rest in PCS-pts complaining of cognitive deficits and fatigue In line with previous studies, we found that executive functions, memory and language were defective in PCS-pts as compared to HCs [</w:t>
      </w:r>
      <w:hyperlink r:id="rId34" w:anchor="B3-biomedicines-11-02228" w:history="1">
        <w:r w:rsidRPr="006D7CAF">
          <w:rPr>
            <w:rStyle w:val="Hyperlink"/>
            <w:lang w:val="en-US"/>
          </w:rPr>
          <w:t>3</w:t>
        </w:r>
      </w:hyperlink>
      <w:r w:rsidRPr="006D7CAF">
        <w:rPr>
          <w:lang w:val="en-US"/>
        </w:rPr>
        <w:t>,</w:t>
      </w:r>
      <w:hyperlink r:id="rId35" w:anchor="B5-biomedicines-11-02228" w:history="1">
        <w:r w:rsidRPr="006D7CAF">
          <w:rPr>
            <w:rStyle w:val="Hyperlink"/>
            <w:lang w:val="en-US"/>
          </w:rPr>
          <w:t>5</w:t>
        </w:r>
      </w:hyperlink>
      <w:r w:rsidRPr="006D7CAF">
        <w:rPr>
          <w:lang w:val="en-US"/>
        </w:rPr>
        <w:t>,</w:t>
      </w:r>
      <w:hyperlink r:id="rId36" w:anchor="B6-biomedicines-11-02228" w:history="1">
        <w:r w:rsidRPr="006D7CAF">
          <w:rPr>
            <w:rStyle w:val="Hyperlink"/>
            <w:lang w:val="en-US"/>
          </w:rPr>
          <w:t>6</w:t>
        </w:r>
      </w:hyperlink>
      <w:r w:rsidRPr="006D7CAF">
        <w:rPr>
          <w:lang w:val="en-US"/>
        </w:rPr>
        <w:t>,</w:t>
      </w:r>
      <w:hyperlink r:id="rId37" w:anchor="B7-biomedicines-11-02228" w:history="1">
        <w:r w:rsidRPr="006D7CAF">
          <w:rPr>
            <w:rStyle w:val="Hyperlink"/>
            <w:lang w:val="en-US"/>
          </w:rPr>
          <w:t>7</w:t>
        </w:r>
      </w:hyperlink>
      <w:r w:rsidRPr="006D7CAF">
        <w:rPr>
          <w:lang w:val="en-US"/>
        </w:rPr>
        <w:t>,</w:t>
      </w:r>
      <w:hyperlink r:id="rId38" w:anchor="B9-biomedicines-11-02228" w:history="1">
        <w:r w:rsidRPr="006D7CAF">
          <w:rPr>
            <w:rStyle w:val="Hyperlink"/>
            <w:lang w:val="en-US"/>
          </w:rPr>
          <w:t>9</w:t>
        </w:r>
      </w:hyperlink>
      <w:r w:rsidRPr="006D7CAF">
        <w:rPr>
          <w:lang w:val="en-US"/>
        </w:rPr>
        <w:t>]. Interestingly, the global cognitive score was normal [</w:t>
      </w:r>
      <w:hyperlink r:id="rId39" w:anchor="B27-biomedicines-11-02228" w:history="1">
        <w:r w:rsidRPr="006D7CAF">
          <w:rPr>
            <w:rStyle w:val="Hyperlink"/>
            <w:lang w:val="en-US"/>
          </w:rPr>
          <w:t>27</w:t>
        </w:r>
      </w:hyperlink>
      <w:r w:rsidRPr="006D7CAF">
        <w:rPr>
          <w:lang w:val="en-US"/>
        </w:rPr>
        <w:t xml:space="preserve">], thus implying that, overall, PCS-pts did not have clinical, significant cognitive impairment. Lower performance in cognitive tasks, especially in those evaluating executive function, was associated with brain activity changes in PCS patients, both in classical EEG analyses (power spectra and ERPs. </w:t>
      </w:r>
    </w:p>
    <w:p w14:paraId="6E38BEE3" w14:textId="6ABD5C8A" w:rsidR="00BC3983" w:rsidRPr="006D7CAF" w:rsidRDefault="00BC3983" w:rsidP="002E28EC">
      <w:pPr>
        <w:jc w:val="both"/>
        <w:rPr>
          <w:lang w:val="en-US"/>
        </w:rPr>
      </w:pPr>
      <w:r w:rsidRPr="006D7CAF">
        <w:rPr>
          <w:lang w:val="en-US"/>
        </w:rPr>
        <w:t>Moreover, Appelt and colleagues [</w:t>
      </w:r>
      <w:hyperlink r:id="rId40" w:anchor="B23-biomedicines-11-02228" w:history="1">
        <w:r w:rsidRPr="006D7CAF">
          <w:rPr>
            <w:rStyle w:val="Hyperlink"/>
            <w:lang w:val="en-US"/>
          </w:rPr>
          <w:t>23</w:t>
        </w:r>
      </w:hyperlink>
      <w:r w:rsidRPr="006D7CAF">
        <w:rPr>
          <w:lang w:val="en-US"/>
        </w:rPr>
        <w:t>] found an abnormal modulation of EEG activity in PCS-pts during the Trail Making Tests (TMT), associated with an increase in the time of execution. In particular, they found EEG changes over frontal regions, which are involved in executive function.</w:t>
      </w:r>
    </w:p>
    <w:p w14:paraId="7D941589" w14:textId="4F3DF1C2" w:rsidR="00BC3983" w:rsidRPr="006D7CAF" w:rsidRDefault="00BC3983" w:rsidP="002E28EC">
      <w:pPr>
        <w:jc w:val="both"/>
        <w:rPr>
          <w:lang w:val="en-US"/>
        </w:rPr>
      </w:pPr>
      <w:r w:rsidRPr="006D7CAF">
        <w:rPr>
          <w:lang w:val="en-US"/>
        </w:rPr>
        <w:t xml:space="preserve">Indeed, we found a reduction in brain source activity at rest in the frontal, parietal and temporal brain regions when PCS-pts were compared to HCs. Of note, the main finding of our study is the reduction </w:t>
      </w:r>
      <w:r w:rsidRPr="006D7CAF">
        <w:rPr>
          <w:lang w:val="en-US"/>
        </w:rPr>
        <w:lastRenderedPageBreak/>
        <w:t>in brain source activity for the delta band (0.5–3.5), distributed bilaterally in the frontal–parietal lobe, and in the left temporal lobe, with the postcentral gyrus having the highest current density difference.</w:t>
      </w:r>
    </w:p>
    <w:p w14:paraId="16707C17" w14:textId="55727D17" w:rsidR="00BC3983" w:rsidRPr="006D7CAF" w:rsidRDefault="00BC3983" w:rsidP="002E28EC">
      <w:pPr>
        <w:jc w:val="both"/>
        <w:rPr>
          <w:lang w:val="en-US"/>
        </w:rPr>
      </w:pPr>
      <w:r w:rsidRPr="006D7CAF">
        <w:rPr>
          <w:lang w:val="en-US"/>
        </w:rPr>
        <w:t>Similarly, Kopanska and colleagues [</w:t>
      </w:r>
      <w:hyperlink r:id="rId41" w:anchor="B20-biomedicines-11-02228" w:history="1">
        <w:r w:rsidRPr="006D7CAF">
          <w:rPr>
            <w:rStyle w:val="Hyperlink"/>
            <w:lang w:val="en-US"/>
          </w:rPr>
          <w:t>20</w:t>
        </w:r>
      </w:hyperlink>
      <w:r w:rsidRPr="006D7CAF">
        <w:rPr>
          <w:lang w:val="en-US"/>
        </w:rPr>
        <w:t>] found a decrease in delta activity in the left hemisphere of PCS-pts compared to pre-COVID EEG activity in the same subjects. On the other hand, Cecchetti and colleagues [</w:t>
      </w:r>
      <w:hyperlink r:id="rId42" w:anchor="B17-biomedicines-11-02228" w:history="1">
        <w:r w:rsidRPr="006D7CAF">
          <w:rPr>
            <w:rStyle w:val="Hyperlink"/>
            <w:lang w:val="en-US"/>
          </w:rPr>
          <w:t>17</w:t>
        </w:r>
      </w:hyperlink>
      <w:r w:rsidRPr="006D7CAF">
        <w:rPr>
          <w:lang w:val="en-US"/>
        </w:rPr>
        <w:t>] found lowered delta activity at baseline (2 months after acute infection) in PCS-pts, related to a lower performance in executive function tasks (i.e., TMT and FAB), predicting worse cognitive performances at follow-up (10 months). Coherently, among all cognitive processes related to delta oscillations (e.g., spatial navigation), it has been suggested that delta activity in the anterior regions of the brain, especially in the frontal cortex, may be related to the inhibition of interferences during attentional shifting tasks.</w:t>
      </w:r>
      <w:r w:rsidR="00C672D1" w:rsidRPr="006D7CAF">
        <w:rPr>
          <w:lang w:val="en-US"/>
        </w:rPr>
        <w:t xml:space="preserve"> Thus, fine tuning of delta activity in the frontoparietal network is essential to reach better performance in attentional cognitive tasks [</w:t>
      </w:r>
      <w:hyperlink r:id="rId43" w:anchor="B33-biomedicines-11-02228" w:history="1">
        <w:r w:rsidR="00C672D1" w:rsidRPr="006D7CAF">
          <w:rPr>
            <w:rStyle w:val="Hyperlink"/>
            <w:lang w:val="en-US"/>
          </w:rPr>
          <w:t>33</w:t>
        </w:r>
      </w:hyperlink>
      <w:r w:rsidR="00C672D1" w:rsidRPr="006D7CAF">
        <w:rPr>
          <w:lang w:val="en-US"/>
        </w:rPr>
        <w:t>].</w:t>
      </w:r>
      <w:r w:rsidR="00F66812" w:rsidRPr="006D7CAF">
        <w:rPr>
          <w:lang w:val="en-US"/>
        </w:rPr>
        <w:t xml:space="preserve"> Higher GABA concentration in frontal cortex was associated with more efficient suppression of distractors [</w:t>
      </w:r>
      <w:hyperlink r:id="rId44" w:anchor="B34-biomedicines-11-02228" w:history="1">
        <w:r w:rsidR="00F66812" w:rsidRPr="006D7CAF">
          <w:rPr>
            <w:rStyle w:val="Hyperlink"/>
            <w:lang w:val="en-US"/>
          </w:rPr>
          <w:t>34</w:t>
        </w:r>
      </w:hyperlink>
      <w:r w:rsidR="00F66812" w:rsidRPr="006D7CAF">
        <w:rPr>
          <w:lang w:val="en-US"/>
        </w:rPr>
        <w:t>]. In line with these findings, in the elderly, higher GABA concentration in the frontal regions has been associated with better cognitive performance on the MoCA [</w:t>
      </w:r>
      <w:hyperlink r:id="rId45" w:anchor="B35-biomedicines-11-02228" w:history="1">
        <w:r w:rsidR="00F66812" w:rsidRPr="006D7CAF">
          <w:rPr>
            <w:rStyle w:val="Hyperlink"/>
            <w:lang w:val="en-US"/>
          </w:rPr>
          <w:t>35</w:t>
        </w:r>
      </w:hyperlink>
      <w:r w:rsidR="00F66812" w:rsidRPr="006D7CAF">
        <w:rPr>
          <w:lang w:val="en-US"/>
        </w:rPr>
        <w:t>]. We do not have direct evidence of a link between reduced delta activity and GABAergic dysfunction. Nevertheless, recently, a transcranial magnetic stimulation (TMS) study in PCS-pts complaining of fatigue found a link between impairment in executive function and GABAergic inhibition [</w:t>
      </w:r>
      <w:hyperlink r:id="rId46" w:anchor="B36-biomedicines-11-02228" w:history="1">
        <w:r w:rsidR="00F66812" w:rsidRPr="006D7CAF">
          <w:rPr>
            <w:rStyle w:val="Hyperlink"/>
            <w:lang w:val="en-US"/>
          </w:rPr>
          <w:t>36</w:t>
        </w:r>
      </w:hyperlink>
      <w:r w:rsidR="00F66812" w:rsidRPr="006D7CAF">
        <w:rPr>
          <w:lang w:val="en-US"/>
        </w:rPr>
        <w:t>]. Specifically, PSC patients showed an alteration of short- and long-interval intracortical inhibition (SICI and LICI), which may reflect a reduction in intracortical GABAergic activity in the primary motor cortex (M1). These neurophysiological findings highlight the presence of central motor and cognitive fatigue associated with GABAergic circuit dysfunction in PSC-pts [</w:t>
      </w:r>
      <w:hyperlink r:id="rId47" w:anchor="B7-biomedicines-11-02228" w:history="1">
        <w:r w:rsidR="00F66812" w:rsidRPr="006D7CAF">
          <w:rPr>
            <w:rStyle w:val="Hyperlink"/>
            <w:lang w:val="en-US"/>
          </w:rPr>
          <w:t>7</w:t>
        </w:r>
      </w:hyperlink>
      <w:r w:rsidR="00F66812" w:rsidRPr="006D7CAF">
        <w:rPr>
          <w:lang w:val="en-US"/>
        </w:rPr>
        <w:t>,</w:t>
      </w:r>
      <w:hyperlink r:id="rId48" w:anchor="B8-biomedicines-11-02228" w:history="1">
        <w:r w:rsidR="00F66812" w:rsidRPr="006D7CAF">
          <w:rPr>
            <w:rStyle w:val="Hyperlink"/>
            <w:lang w:val="en-US"/>
          </w:rPr>
          <w:t>8</w:t>
        </w:r>
      </w:hyperlink>
      <w:r w:rsidR="00F66812" w:rsidRPr="006D7CAF">
        <w:rPr>
          <w:lang w:val="en-US"/>
        </w:rPr>
        <w:t>,</w:t>
      </w:r>
      <w:hyperlink r:id="rId49" w:anchor="B9-biomedicines-11-02228" w:history="1">
        <w:r w:rsidR="00F66812" w:rsidRPr="006D7CAF">
          <w:rPr>
            <w:rStyle w:val="Hyperlink"/>
            <w:lang w:val="en-US"/>
          </w:rPr>
          <w:t>9</w:t>
        </w:r>
      </w:hyperlink>
      <w:r w:rsidR="00F66812" w:rsidRPr="006D7CAF">
        <w:rPr>
          <w:lang w:val="en-US"/>
        </w:rPr>
        <w:t>,</w:t>
      </w:r>
      <w:hyperlink r:id="rId50" w:anchor="B36-biomedicines-11-02228" w:history="1">
        <w:r w:rsidR="00F66812" w:rsidRPr="006D7CAF">
          <w:rPr>
            <w:rStyle w:val="Hyperlink"/>
            <w:lang w:val="en-US"/>
          </w:rPr>
          <w:t>36</w:t>
        </w:r>
      </w:hyperlink>
      <w:r w:rsidR="00F66812" w:rsidRPr="006D7CAF">
        <w:rPr>
          <w:lang w:val="en-US"/>
        </w:rPr>
        <w:t>]. GABAergic neurons are known to have a high expression of ACE2 receptors [</w:t>
      </w:r>
      <w:hyperlink r:id="rId51" w:anchor="B37-biomedicines-11-02228" w:history="1">
        <w:r w:rsidR="00F66812" w:rsidRPr="006D7CAF">
          <w:rPr>
            <w:rStyle w:val="Hyperlink"/>
            <w:lang w:val="en-US"/>
          </w:rPr>
          <w:t>37</w:t>
        </w:r>
      </w:hyperlink>
      <w:r w:rsidR="00F66812" w:rsidRPr="006D7CAF">
        <w:rPr>
          <w:lang w:val="en-US"/>
        </w:rPr>
        <w:t>,</w:t>
      </w:r>
      <w:hyperlink r:id="rId52" w:anchor="B38-biomedicines-11-02228" w:history="1">
        <w:r w:rsidR="00F66812" w:rsidRPr="006D7CAF">
          <w:rPr>
            <w:rStyle w:val="Hyperlink"/>
            <w:lang w:val="en-US"/>
          </w:rPr>
          <w:t>38</w:t>
        </w:r>
      </w:hyperlink>
      <w:r w:rsidR="00F66812" w:rsidRPr="006D7CAF">
        <w:rPr>
          <w:lang w:val="en-US"/>
        </w:rPr>
        <w:t>], known to be SARS-CoV-2 targets [</w:t>
      </w:r>
      <w:hyperlink r:id="rId53" w:anchor="B12-biomedicines-11-02228" w:history="1">
        <w:r w:rsidR="00F66812" w:rsidRPr="006D7CAF">
          <w:rPr>
            <w:rStyle w:val="Hyperlink"/>
            <w:lang w:val="en-US"/>
          </w:rPr>
          <w:t>12</w:t>
        </w:r>
      </w:hyperlink>
      <w:r w:rsidR="00F66812" w:rsidRPr="006D7CAF">
        <w:rPr>
          <w:lang w:val="en-US"/>
        </w:rPr>
        <w:t>,</w:t>
      </w:r>
      <w:hyperlink r:id="rId54" w:anchor="B39-biomedicines-11-02228" w:history="1">
        <w:r w:rsidR="00F66812" w:rsidRPr="006D7CAF">
          <w:rPr>
            <w:rStyle w:val="Hyperlink"/>
            <w:lang w:val="en-US"/>
          </w:rPr>
          <w:t>39</w:t>
        </w:r>
      </w:hyperlink>
      <w:r w:rsidR="00F66812" w:rsidRPr="006D7CAF">
        <w:rPr>
          <w:lang w:val="en-US"/>
        </w:rPr>
        <w:t>]. Therefore, in PCS-pts, the neuroinflammation may induce central GABAergic impairment, representing a common denominator for motor and cognitive fatigue and executive deficits.</w:t>
      </w:r>
    </w:p>
    <w:p w14:paraId="312FDAC8" w14:textId="2EFD5015" w:rsidR="00F66812" w:rsidRPr="006D7CAF" w:rsidRDefault="00F66812" w:rsidP="002E28EC">
      <w:pPr>
        <w:jc w:val="both"/>
        <w:rPr>
          <w:lang w:val="en-US"/>
        </w:rPr>
      </w:pPr>
      <w:r w:rsidRPr="006D7CAF">
        <w:rPr>
          <w:lang w:val="en-US"/>
        </w:rPr>
        <w:t>Taken together, these results support the hypothesis that a dysfunction in the GABAergic system is involved in the pathophysiology of “brain fog” in PCS-pts [</w:t>
      </w:r>
      <w:hyperlink r:id="rId55" w:anchor="B7-biomedicines-11-02228" w:history="1">
        <w:r w:rsidRPr="006D7CAF">
          <w:rPr>
            <w:rStyle w:val="Hyperlink"/>
            <w:lang w:val="en-US"/>
          </w:rPr>
          <w:t>7</w:t>
        </w:r>
      </w:hyperlink>
      <w:r w:rsidRPr="006D7CAF">
        <w:rPr>
          <w:lang w:val="en-US"/>
        </w:rPr>
        <w:t>,</w:t>
      </w:r>
      <w:hyperlink r:id="rId56" w:anchor="B8-biomedicines-11-02228" w:history="1">
        <w:r w:rsidRPr="006D7CAF">
          <w:rPr>
            <w:rStyle w:val="Hyperlink"/>
            <w:lang w:val="en-US"/>
          </w:rPr>
          <w:t>8</w:t>
        </w:r>
      </w:hyperlink>
      <w:r w:rsidRPr="006D7CAF">
        <w:rPr>
          <w:lang w:val="en-US"/>
        </w:rPr>
        <w:t>,</w:t>
      </w:r>
      <w:hyperlink r:id="rId57" w:anchor="B9-biomedicines-11-02228" w:history="1">
        <w:r w:rsidRPr="006D7CAF">
          <w:rPr>
            <w:rStyle w:val="Hyperlink"/>
            <w:lang w:val="en-US"/>
          </w:rPr>
          <w:t>9</w:t>
        </w:r>
      </w:hyperlink>
      <w:r w:rsidRPr="006D7CAF">
        <w:rPr>
          <w:lang w:val="en-US"/>
        </w:rPr>
        <w:t>,</w:t>
      </w:r>
      <w:hyperlink r:id="rId58" w:anchor="B36-biomedicines-11-02228" w:history="1">
        <w:r w:rsidRPr="006D7CAF">
          <w:rPr>
            <w:rStyle w:val="Hyperlink"/>
            <w:lang w:val="en-US"/>
          </w:rPr>
          <w:t>36</w:t>
        </w:r>
      </w:hyperlink>
      <w:r w:rsidRPr="006D7CAF">
        <w:rPr>
          <w:lang w:val="en-US"/>
        </w:rPr>
        <w:t xml:space="preserve">]. In this study, “brain fog” was investigated by both FSS and </w:t>
      </w:r>
      <w:commentRangeStart w:id="0"/>
      <w:r w:rsidRPr="006D7CAF">
        <w:rPr>
          <w:lang w:val="en-US"/>
        </w:rPr>
        <w:t>PDCS</w:t>
      </w:r>
      <w:commentRangeEnd w:id="0"/>
      <w:r>
        <w:rPr>
          <w:rStyle w:val="CommentReference"/>
          <w:rFonts w:ascii="Calibri" w:eastAsia="Calibri" w:hAnsi="Calibri" w:cs="Times New Roman"/>
          <w:kern w:val="3"/>
        </w:rPr>
        <w:commentReference w:id="0"/>
      </w:r>
      <w:r w:rsidRPr="006D7CAF">
        <w:rPr>
          <w:lang w:val="en-US"/>
        </w:rPr>
        <w:t>. To our knowledge, this is the first study that investigated the relationship between EEG features and an objective measure of perceived cognitive difficulties. Intriguingly, PDCS scores were negatively correlated with delta source power. As previously explained, a reduction in delta activity has been associated with executive attentional deficits [</w:t>
      </w:r>
      <w:hyperlink r:id="rId63" w:anchor="B34-biomedicines-11-02228" w:history="1">
        <w:r w:rsidRPr="006D7CAF">
          <w:rPr>
            <w:rStyle w:val="Hyperlink"/>
            <w:lang w:val="en-US"/>
          </w:rPr>
          <w:t>34</w:t>
        </w:r>
      </w:hyperlink>
      <w:r w:rsidRPr="006D7CAF">
        <w:rPr>
          <w:lang w:val="en-US"/>
        </w:rPr>
        <w:t>].</w:t>
      </w:r>
    </w:p>
    <w:p w14:paraId="46F6025B" w14:textId="2317A3DB" w:rsidR="00F66812" w:rsidRPr="006D7CAF" w:rsidRDefault="00F66812" w:rsidP="002E28EC">
      <w:pPr>
        <w:jc w:val="both"/>
        <w:rPr>
          <w:lang w:val="en-US"/>
        </w:rPr>
      </w:pPr>
      <w:r w:rsidRPr="006D7CAF">
        <w:rPr>
          <w:lang w:val="en-US"/>
        </w:rPr>
        <w:t>In conclusion, mild PCS-pts could manifest specific neuropsychological and neurophysiological features. They show objective, although subclinical, reductions in cognitive performance and higher fatigability as compared to HCs. These patients, at the same time, showed a reduction in delta source power. This finding is very intriguing. We hypothesize that PCS-pts, complaining of cognitive deficits, do not have a cognitive dysfunction so defective as to lead to clinical impairment. Nevertheless, these alterations affect their cognition. In line with these observations, the reduction in delta source activity at rest in PCS patients was found bilaterally in the frontal–parietal lobe network, and in the left temporal lobe; these are brain regions involved in the central executive network (CEN), default mode network (DMN), salience network (SN) and sensorimotor network (SMN)</w:t>
      </w:r>
      <w:r w:rsidR="00F15DDD" w:rsidRPr="006D7CAF">
        <w:rPr>
          <w:lang w:val="en-US"/>
        </w:rPr>
        <w:t>.</w:t>
      </w:r>
    </w:p>
    <w:p w14:paraId="43124502" w14:textId="77777777" w:rsidR="00F15DDD" w:rsidRPr="006D7CAF" w:rsidRDefault="00F15DDD" w:rsidP="00A32EB8">
      <w:pPr>
        <w:autoSpaceDE w:val="0"/>
        <w:autoSpaceDN w:val="0"/>
        <w:adjustRightInd w:val="0"/>
        <w:spacing w:after="0" w:line="240" w:lineRule="auto"/>
        <w:rPr>
          <w:lang w:val="en-US"/>
        </w:rPr>
      </w:pPr>
      <w:r w:rsidRPr="006D7CAF">
        <w:rPr>
          <w:lang w:val="en-US"/>
        </w:rPr>
        <w:t xml:space="preserve">Ortelli et al., 2021: </w:t>
      </w:r>
    </w:p>
    <w:p w14:paraId="56017AFE" w14:textId="22DB7758" w:rsidR="00E91D61" w:rsidRPr="006D7CAF" w:rsidRDefault="00F15DDD" w:rsidP="00A32EB8">
      <w:pPr>
        <w:autoSpaceDE w:val="0"/>
        <w:autoSpaceDN w:val="0"/>
        <w:adjustRightInd w:val="0"/>
        <w:spacing w:after="0" w:line="240" w:lineRule="auto"/>
        <w:rPr>
          <w:lang w:val="en-US"/>
        </w:rPr>
      </w:pPr>
      <w:r w:rsidRPr="006D7CAF">
        <w:rPr>
          <w:lang w:val="en-US"/>
        </w:rPr>
        <w:t xml:space="preserve">Based on neuropsychological data, post-COVID-19 patients presented with </w:t>
      </w:r>
      <w:hyperlink r:id="rId64" w:tooltip="Learn more about cognitive deficits from ScienceDirect's AI-generated Topic Pages" w:history="1">
        <w:r w:rsidRPr="006D7CAF">
          <w:rPr>
            <w:rStyle w:val="Hyperlink"/>
            <w:lang w:val="en-US"/>
          </w:rPr>
          <w:t>cognitive deficits</w:t>
        </w:r>
      </w:hyperlink>
      <w:r w:rsidRPr="006D7CAF">
        <w:rPr>
          <w:lang w:val="en-US"/>
        </w:rPr>
        <w:t>, particularly in the executive domain, in comparison with HC. MoCA scores were on average borderline compared to the Italian normative data cut-off [</w:t>
      </w:r>
      <w:bookmarkStart w:id="1" w:name="bbb0130"/>
      <w:r>
        <w:fldChar w:fldCharType="begin"/>
      </w:r>
      <w:r w:rsidRPr="006D7CAF">
        <w:rPr>
          <w:lang w:val="en-US"/>
        </w:rPr>
        <w:instrText xml:space="preserve"> HYPERLINK "https://www.sciencedirect.com/science/article/pii/S0022510X20306079" \l "bb0130" </w:instrText>
      </w:r>
      <w:r>
        <w:fldChar w:fldCharType="separate"/>
      </w:r>
      <w:r w:rsidRPr="006D7CAF">
        <w:rPr>
          <w:rStyle w:val="anchor-text"/>
          <w:color w:val="0000FF"/>
          <w:u w:val="single"/>
          <w:lang w:val="en-US"/>
        </w:rPr>
        <w:t>26</w:t>
      </w:r>
      <w:r>
        <w:fldChar w:fldCharType="end"/>
      </w:r>
      <w:bookmarkEnd w:id="1"/>
      <w:r w:rsidRPr="006D7CAF">
        <w:rPr>
          <w:lang w:val="en-US"/>
        </w:rPr>
        <w:t>], but they were lower than in the control group, concurring with a reduction in global cognition following COVID-19 with respect to HC. Moreover, three post-COVID-19 patients developed such a severe cognitive impairment that they were unable to participate in the computerized tests. In line with previous data [</w:t>
      </w:r>
      <w:bookmarkStart w:id="2" w:name="bbb0335"/>
      <w:r>
        <w:fldChar w:fldCharType="begin"/>
      </w:r>
      <w:r w:rsidRPr="006D7CAF">
        <w:rPr>
          <w:lang w:val="en-US"/>
        </w:rPr>
        <w:instrText xml:space="preserve"> HYPERLINK "https://www.sciencedirect.com/science/article/pii/S0022510X20306079" \l "bb0335" </w:instrText>
      </w:r>
      <w:r>
        <w:fldChar w:fldCharType="separate"/>
      </w:r>
      <w:r w:rsidRPr="006D7CAF">
        <w:rPr>
          <w:rStyle w:val="anchor-text"/>
          <w:color w:val="0000FF"/>
          <w:u w:val="single"/>
          <w:lang w:val="en-US"/>
        </w:rPr>
        <w:t>67</w:t>
      </w:r>
      <w:r>
        <w:fldChar w:fldCharType="end"/>
      </w:r>
      <w:bookmarkEnd w:id="2"/>
      <w:r w:rsidRPr="006D7CAF">
        <w:rPr>
          <w:lang w:val="en-US"/>
        </w:rPr>
        <w:t xml:space="preserve">], the abnormally low FAB scores we found in more than half of our post-COVID-19 patients clearly demonstrate </w:t>
      </w:r>
      <w:r w:rsidRPr="006D7CAF">
        <w:rPr>
          <w:lang w:val="en-US"/>
        </w:rPr>
        <w:lastRenderedPageBreak/>
        <w:t xml:space="preserve">evidence of a </w:t>
      </w:r>
      <w:hyperlink r:id="rId65" w:tooltip="Learn more about dysexecutive syndrome from ScienceDirect's AI-generated Topic Pages" w:history="1">
        <w:r w:rsidRPr="006D7CAF">
          <w:rPr>
            <w:rStyle w:val="Hyperlink"/>
            <w:lang w:val="en-US"/>
          </w:rPr>
          <w:t>dysexecutive syndrome</w:t>
        </w:r>
      </w:hyperlink>
      <w:r w:rsidRPr="006D7CAF">
        <w:rPr>
          <w:lang w:val="en-US"/>
        </w:rPr>
        <w:t xml:space="preserve">. The neuropsychological pattern we found, which is characterized by both </w:t>
      </w:r>
      <w:hyperlink r:id="rId66" w:tooltip="Learn more about dysexecutive syndrome from ScienceDirect's AI-generated Topic Pages" w:history="1">
        <w:r w:rsidRPr="006D7CAF">
          <w:rPr>
            <w:rStyle w:val="Hyperlink"/>
            <w:lang w:val="en-US"/>
          </w:rPr>
          <w:t>dysexecutive syndrome</w:t>
        </w:r>
      </w:hyperlink>
      <w:r w:rsidRPr="006D7CAF">
        <w:rPr>
          <w:lang w:val="en-US"/>
        </w:rPr>
        <w:t xml:space="preserve"> and dysregulation of certain emotional-motivational aspects, often anticipates the development of dementia in patients suffering from neuroinflammatory and </w:t>
      </w:r>
      <w:hyperlink r:id="rId67" w:tooltip="Learn more about neurodegenerative diseases from ScienceDirect's AI-generated Topic Pages" w:history="1">
        <w:r w:rsidRPr="006D7CAF">
          <w:rPr>
            <w:rStyle w:val="Hyperlink"/>
            <w:lang w:val="en-US"/>
          </w:rPr>
          <w:t>neurodegenerative diseases</w:t>
        </w:r>
      </w:hyperlink>
      <w:r w:rsidRPr="006D7CAF">
        <w:rPr>
          <w:lang w:val="en-US"/>
        </w:rPr>
        <w:t xml:space="preserve"> [</w:t>
      </w:r>
      <w:bookmarkStart w:id="3" w:name="bbb0340"/>
      <w:r>
        <w:fldChar w:fldCharType="begin"/>
      </w:r>
      <w:r w:rsidRPr="006D7CAF">
        <w:rPr>
          <w:lang w:val="en-US"/>
        </w:rPr>
        <w:instrText xml:space="preserve"> HYPERLINK "https://www.sciencedirect.com/science/article/pii/S0022510X20306079" \l "bb0340" </w:instrText>
      </w:r>
      <w:r>
        <w:fldChar w:fldCharType="separate"/>
      </w:r>
      <w:r w:rsidRPr="006D7CAF">
        <w:rPr>
          <w:rStyle w:val="anchor-text"/>
          <w:color w:val="0000FF"/>
          <w:u w:val="single"/>
          <w:lang w:val="en-US"/>
        </w:rPr>
        <w:t>68</w:t>
      </w:r>
      <w:r>
        <w:fldChar w:fldCharType="end"/>
      </w:r>
      <w:bookmarkEnd w:id="3"/>
      <w:r w:rsidRPr="006D7CAF">
        <w:rPr>
          <w:lang w:val="en-US"/>
        </w:rPr>
        <w:t>,</w:t>
      </w:r>
      <w:bookmarkStart w:id="4" w:name="bbb0345"/>
      <w:r>
        <w:fldChar w:fldCharType="begin"/>
      </w:r>
      <w:r w:rsidRPr="006D7CAF">
        <w:rPr>
          <w:lang w:val="en-US"/>
        </w:rPr>
        <w:instrText xml:space="preserve"> HYPERLINK "https://www.sciencedirect.com/science/article/pii/S0022510X20306079" \l "bb0345" </w:instrText>
      </w:r>
      <w:r>
        <w:fldChar w:fldCharType="separate"/>
      </w:r>
      <w:r w:rsidRPr="006D7CAF">
        <w:rPr>
          <w:rStyle w:val="anchor-text"/>
          <w:color w:val="0000FF"/>
          <w:u w:val="single"/>
          <w:lang w:val="en-US"/>
        </w:rPr>
        <w:t>69</w:t>
      </w:r>
      <w:r>
        <w:fldChar w:fldCharType="end"/>
      </w:r>
      <w:bookmarkEnd w:id="4"/>
      <w:r w:rsidRPr="006D7CAF">
        <w:rPr>
          <w:lang w:val="en-US"/>
        </w:rPr>
        <w:t>].</w:t>
      </w:r>
    </w:p>
    <w:p w14:paraId="587E3931" w14:textId="77777777" w:rsidR="00015223" w:rsidRPr="006D7CAF" w:rsidRDefault="00015223" w:rsidP="00A32EB8">
      <w:pPr>
        <w:autoSpaceDE w:val="0"/>
        <w:autoSpaceDN w:val="0"/>
        <w:adjustRightInd w:val="0"/>
        <w:spacing w:after="0" w:line="240" w:lineRule="auto"/>
        <w:rPr>
          <w:lang w:val="en-US"/>
        </w:rPr>
      </w:pPr>
    </w:p>
    <w:p w14:paraId="3951E185" w14:textId="7D64FEEA" w:rsidR="00015223" w:rsidRPr="006D7CAF" w:rsidRDefault="00015223" w:rsidP="00A32EB8">
      <w:pPr>
        <w:autoSpaceDE w:val="0"/>
        <w:autoSpaceDN w:val="0"/>
        <w:adjustRightInd w:val="0"/>
        <w:spacing w:after="0" w:line="240" w:lineRule="auto"/>
        <w:rPr>
          <w:lang w:val="en-US"/>
        </w:rPr>
      </w:pPr>
      <w:r w:rsidRPr="006D7CAF">
        <w:rPr>
          <w:lang w:val="en-US"/>
        </w:rPr>
        <w:t>In our sample of patients, the reduced activity of intracortical GABAergic circuits, reflected in post-exercise shortening of SP, was previously demonstrated by means of paired-pulse TMS techniques (data submitted). Patients presented, as compared to HC, markedly reduced short-interval intracortical inhibition (SICI), and disruption of long-interval intracortical inhibition (LICI) assessed in the FDI at rest. SICI is thought to represent GABA</w:t>
      </w:r>
      <w:r w:rsidRPr="006D7CAF">
        <w:rPr>
          <w:vertAlign w:val="subscript"/>
          <w:lang w:val="en-US"/>
        </w:rPr>
        <w:t>A</w:t>
      </w:r>
      <w:r w:rsidRPr="006D7CAF">
        <w:rPr>
          <w:lang w:val="en-US"/>
        </w:rPr>
        <w:t>-receptor-mediated fast inhibitory post-synaptic potentials (IPSPs) in corticospinal neurons [</w:t>
      </w:r>
      <w:bookmarkStart w:id="5" w:name="bbb0405"/>
      <w:r>
        <w:fldChar w:fldCharType="begin"/>
      </w:r>
      <w:r w:rsidRPr="006D7CAF">
        <w:rPr>
          <w:lang w:val="en-US"/>
        </w:rPr>
        <w:instrText xml:space="preserve"> HYPERLINK "https://www.sciencedirect.com/science/article/pii/S0022510X20306079" \l "bb0405" </w:instrText>
      </w:r>
      <w:r>
        <w:fldChar w:fldCharType="separate"/>
      </w:r>
      <w:r w:rsidRPr="006D7CAF">
        <w:rPr>
          <w:rStyle w:val="anchor-text"/>
          <w:color w:val="0000FF"/>
          <w:u w:val="single"/>
          <w:lang w:val="en-US"/>
        </w:rPr>
        <w:t>81</w:t>
      </w:r>
      <w:r>
        <w:fldChar w:fldCharType="end"/>
      </w:r>
      <w:r w:rsidRPr="006D7CAF">
        <w:rPr>
          <w:lang w:val="en-US"/>
        </w:rPr>
        <w:t>] and LICI is considered to be dependent on slow IPSPs mediated through GABA</w:t>
      </w:r>
      <w:r w:rsidRPr="006D7CAF">
        <w:rPr>
          <w:vertAlign w:val="subscript"/>
          <w:lang w:val="en-US"/>
        </w:rPr>
        <w:t>B</w:t>
      </w:r>
      <w:r w:rsidRPr="006D7CAF">
        <w:rPr>
          <w:lang w:val="en-US"/>
        </w:rPr>
        <w:t>-receptors [</w:t>
      </w:r>
      <w:hyperlink r:id="rId68" w:anchor="bb0405" w:history="1">
        <w:r w:rsidRPr="006D7CAF">
          <w:rPr>
            <w:rStyle w:val="anchor-text"/>
            <w:color w:val="0000FF"/>
            <w:u w:val="single"/>
            <w:lang w:val="en-US"/>
          </w:rPr>
          <w:t>81</w:t>
        </w:r>
      </w:hyperlink>
      <w:r w:rsidRPr="006D7CAF">
        <w:rPr>
          <w:lang w:val="en-US"/>
        </w:rPr>
        <w:t xml:space="preserve">]. Moreover, short-latency afferent inhibition (SAI) was slightly diminished in these patients. SAI evaluates </w:t>
      </w:r>
      <w:hyperlink r:id="rId69" w:tooltip="Learn more about motor cortex from ScienceDirect's AI-generated Topic Pages" w:history="1">
        <w:r w:rsidRPr="006D7CAF">
          <w:rPr>
            <w:rStyle w:val="Hyperlink"/>
            <w:lang w:val="en-US"/>
          </w:rPr>
          <w:t>motor cortex</w:t>
        </w:r>
      </w:hyperlink>
      <w:r w:rsidRPr="006D7CAF">
        <w:rPr>
          <w:lang w:val="en-US"/>
        </w:rPr>
        <w:t xml:space="preserve"> inhibition induced by sensory afferents (through inhibitory connections from the primary somatosensory cortex to M1). SAI is modulated by excitatory cholinergic thalamocortical projections to the inhibitory GABAergic network in M1 and is reduced by muscarinic and GABA</w:t>
      </w:r>
      <w:r w:rsidRPr="006D7CAF">
        <w:rPr>
          <w:vertAlign w:val="subscript"/>
          <w:lang w:val="en-US"/>
        </w:rPr>
        <w:t>A</w:t>
      </w:r>
      <w:r w:rsidRPr="006D7CAF">
        <w:rPr>
          <w:lang w:val="en-US"/>
        </w:rPr>
        <w:t xml:space="preserve"> </w:t>
      </w:r>
      <w:hyperlink r:id="rId70" w:tooltip="Learn more about agonist from ScienceDirect's AI-generated Topic Pages" w:history="1">
        <w:r w:rsidRPr="006D7CAF">
          <w:rPr>
            <w:rStyle w:val="Hyperlink"/>
            <w:lang w:val="en-US"/>
          </w:rPr>
          <w:t>agonist</w:t>
        </w:r>
      </w:hyperlink>
      <w:r w:rsidRPr="006D7CAF">
        <w:rPr>
          <w:lang w:val="en-US"/>
        </w:rPr>
        <w:t xml:space="preserve"> administration [</w:t>
      </w:r>
      <w:hyperlink r:id="rId71" w:anchor="bb0405" w:history="1">
        <w:r w:rsidRPr="006D7CAF">
          <w:rPr>
            <w:rStyle w:val="anchor-text"/>
            <w:color w:val="0000FF"/>
            <w:u w:val="single"/>
            <w:lang w:val="en-US"/>
          </w:rPr>
          <w:t>81</w:t>
        </w:r>
      </w:hyperlink>
      <w:bookmarkEnd w:id="5"/>
      <w:r w:rsidRPr="006D7CAF">
        <w:rPr>
          <w:lang w:val="en-US"/>
        </w:rPr>
        <w:t>]. SAI was decreased during repetitive non-fatiguing movements inducing MEP depression [</w:t>
      </w:r>
      <w:bookmarkStart w:id="6" w:name="bbb0410"/>
      <w:r>
        <w:fldChar w:fldCharType="begin"/>
      </w:r>
      <w:r w:rsidRPr="006D7CAF">
        <w:rPr>
          <w:lang w:val="en-US"/>
        </w:rPr>
        <w:instrText xml:space="preserve"> HYPERLINK "https://www.sciencedirect.com/science/article/pii/S0022510X20306079" \l "bb0410" </w:instrText>
      </w:r>
      <w:r>
        <w:fldChar w:fldCharType="separate"/>
      </w:r>
      <w:r w:rsidRPr="006D7CAF">
        <w:rPr>
          <w:rStyle w:val="anchor-text"/>
          <w:color w:val="0000FF"/>
          <w:u w:val="single"/>
          <w:lang w:val="en-US"/>
        </w:rPr>
        <w:t>82</w:t>
      </w:r>
      <w:r>
        <w:fldChar w:fldCharType="end"/>
      </w:r>
      <w:bookmarkEnd w:id="6"/>
      <w:r w:rsidRPr="006D7CAF">
        <w:rPr>
          <w:lang w:val="en-US"/>
        </w:rPr>
        <w:t>] and was significantly activated during cognitive tasks [</w:t>
      </w:r>
      <w:bookmarkStart w:id="7" w:name="bbb0415"/>
      <w:r>
        <w:fldChar w:fldCharType="begin"/>
      </w:r>
      <w:r w:rsidRPr="006D7CAF">
        <w:rPr>
          <w:lang w:val="en-US"/>
        </w:rPr>
        <w:instrText xml:space="preserve"> HYPERLINK "https://www.sciencedirect.com/science/article/pii/S0022510X20306079" \l "bb0415" </w:instrText>
      </w:r>
      <w:r>
        <w:fldChar w:fldCharType="separate"/>
      </w:r>
      <w:r w:rsidRPr="006D7CAF">
        <w:rPr>
          <w:rStyle w:val="anchor-text"/>
          <w:color w:val="0000FF"/>
          <w:u w:val="single"/>
          <w:lang w:val="en-US"/>
        </w:rPr>
        <w:t>83</w:t>
      </w:r>
      <w:r>
        <w:fldChar w:fldCharType="end"/>
      </w:r>
      <w:bookmarkEnd w:id="7"/>
      <w:r w:rsidRPr="006D7CAF">
        <w:rPr>
          <w:lang w:val="en-US"/>
        </w:rPr>
        <w:t xml:space="preserve">]. </w:t>
      </w:r>
      <w:r w:rsidRPr="006D7CAF">
        <w:rPr>
          <w:highlight w:val="yellow"/>
          <w:lang w:val="en-US"/>
        </w:rPr>
        <w:t>Taken together</w:t>
      </w:r>
      <w:r w:rsidRPr="006D7CAF">
        <w:rPr>
          <w:lang w:val="en-US"/>
        </w:rPr>
        <w:t xml:space="preserve">, these findings point out to a general reduction of cortical GABAergic and - to a lesser extent - </w:t>
      </w:r>
      <w:hyperlink r:id="rId72" w:tooltip="Learn more about cholinergic activity from ScienceDirect's AI-generated Topic Pages" w:history="1">
        <w:r w:rsidRPr="006D7CAF">
          <w:rPr>
            <w:rStyle w:val="Hyperlink"/>
            <w:lang w:val="en-US"/>
          </w:rPr>
          <w:t>cholinergic activity</w:t>
        </w:r>
      </w:hyperlink>
      <w:r w:rsidRPr="006D7CAF">
        <w:rPr>
          <w:lang w:val="en-US"/>
        </w:rPr>
        <w:t xml:space="preserve"> in COVID-19 patients. This could underlie both the reduced cognition and the abnormal fatigue perception and could represent one of the possible mechanisms of COVID-19-related </w:t>
      </w:r>
      <w:hyperlink r:id="rId73" w:tooltip="Learn more about neurotoxicity from ScienceDirect's AI-generated Topic Pages" w:history="1">
        <w:r w:rsidRPr="006D7CAF">
          <w:rPr>
            <w:rStyle w:val="Hyperlink"/>
            <w:lang w:val="en-US"/>
          </w:rPr>
          <w:t>neurotoxicity</w:t>
        </w:r>
      </w:hyperlink>
      <w:r w:rsidRPr="006D7CAF">
        <w:rPr>
          <w:lang w:val="en-US"/>
        </w:rPr>
        <w:t>.</w:t>
      </w:r>
    </w:p>
    <w:p w14:paraId="2694495A" w14:textId="21CEBC5E" w:rsidR="00015223" w:rsidRPr="006D7CAF" w:rsidRDefault="00015223" w:rsidP="00A32EB8">
      <w:pPr>
        <w:autoSpaceDE w:val="0"/>
        <w:autoSpaceDN w:val="0"/>
        <w:adjustRightInd w:val="0"/>
        <w:spacing w:after="0" w:line="240" w:lineRule="auto"/>
        <w:rPr>
          <w:lang w:val="en-US"/>
        </w:rPr>
      </w:pPr>
    </w:p>
    <w:p w14:paraId="5DC0A7E3" w14:textId="413D291A" w:rsidR="00015223" w:rsidRPr="006D7CAF" w:rsidRDefault="00015223" w:rsidP="00A32EB8">
      <w:pPr>
        <w:autoSpaceDE w:val="0"/>
        <w:autoSpaceDN w:val="0"/>
        <w:adjustRightInd w:val="0"/>
        <w:spacing w:after="0" w:line="240" w:lineRule="auto"/>
        <w:rPr>
          <w:lang w:val="en-US"/>
        </w:rPr>
      </w:pPr>
      <w:r w:rsidRPr="006D7CAF">
        <w:rPr>
          <w:lang w:val="en-US"/>
        </w:rPr>
        <w:t xml:space="preserve">Previous studies from animal models suggest that IL-6 hyperinflammatory-induced state may decrease the density of functional </w:t>
      </w:r>
      <w:hyperlink r:id="rId74" w:tooltip="Learn more about GABA receptors from ScienceDirect's AI-generated Topic Pages" w:history="1">
        <w:r w:rsidRPr="006D7CAF">
          <w:rPr>
            <w:rStyle w:val="Hyperlink"/>
            <w:lang w:val="en-US"/>
          </w:rPr>
          <w:t>GABA receptors</w:t>
        </w:r>
      </w:hyperlink>
      <w:r w:rsidRPr="006D7CAF">
        <w:rPr>
          <w:lang w:val="en-US"/>
        </w:rPr>
        <w:t xml:space="preserve"> and shifts the balance between </w:t>
      </w:r>
      <w:hyperlink r:id="rId75" w:tooltip="Learn more about synaptic inhibition from ScienceDirect's AI-generated Topic Pages" w:history="1">
        <w:r w:rsidRPr="006D7CAF">
          <w:rPr>
            <w:rStyle w:val="Hyperlink"/>
            <w:lang w:val="en-US"/>
          </w:rPr>
          <w:t>synaptic inhibition</w:t>
        </w:r>
      </w:hyperlink>
      <w:r w:rsidRPr="006D7CAF">
        <w:rPr>
          <w:lang w:val="en-US"/>
        </w:rPr>
        <w:t xml:space="preserve"> and excitation [</w:t>
      </w:r>
      <w:bookmarkStart w:id="8" w:name="bbb0420"/>
      <w:r>
        <w:fldChar w:fldCharType="begin"/>
      </w:r>
      <w:r w:rsidRPr="006D7CAF">
        <w:rPr>
          <w:lang w:val="en-US"/>
        </w:rPr>
        <w:instrText xml:space="preserve"> HYPERLINK "https://www.sciencedirect.com/science/article/pii/S0022510X20306079" \l "bb0420" </w:instrText>
      </w:r>
      <w:r>
        <w:fldChar w:fldCharType="separate"/>
      </w:r>
      <w:r w:rsidRPr="006D7CAF">
        <w:rPr>
          <w:rStyle w:val="anchor-text"/>
          <w:color w:val="0000FF"/>
          <w:u w:val="single"/>
          <w:lang w:val="en-US"/>
        </w:rPr>
        <w:t>84</w:t>
      </w:r>
      <w:r>
        <w:fldChar w:fldCharType="end"/>
      </w:r>
      <w:bookmarkEnd w:id="8"/>
      <w:r w:rsidRPr="006D7CAF">
        <w:rPr>
          <w:lang w:val="en-US"/>
        </w:rPr>
        <w:t>]. This imbalance could be responsible for alterations of neurophysiological responses [</w:t>
      </w:r>
      <w:bookmarkStart w:id="9" w:name="bbb0425"/>
      <w:r>
        <w:fldChar w:fldCharType="begin"/>
      </w:r>
      <w:r w:rsidRPr="006D7CAF">
        <w:rPr>
          <w:lang w:val="en-US"/>
        </w:rPr>
        <w:instrText xml:space="preserve"> HYPERLINK "https://www.sciencedirect.com/science/article/pii/S0022510X20306079" \l "bb0425" </w:instrText>
      </w:r>
      <w:r>
        <w:fldChar w:fldCharType="separate"/>
      </w:r>
      <w:r w:rsidRPr="006D7CAF">
        <w:rPr>
          <w:rStyle w:val="anchor-text"/>
          <w:color w:val="0000FF"/>
          <w:u w:val="single"/>
          <w:lang w:val="en-US"/>
        </w:rPr>
        <w:t>85</w:t>
      </w:r>
      <w:r>
        <w:fldChar w:fldCharType="end"/>
      </w:r>
      <w:bookmarkEnd w:id="9"/>
      <w:r w:rsidRPr="006D7CAF">
        <w:rPr>
          <w:lang w:val="en-US"/>
        </w:rPr>
        <w:t>] and for the misprocessing of information that largely regulate emotionally salient information and cognitive functions [</w:t>
      </w:r>
      <w:bookmarkStart w:id="10" w:name="bbb0430"/>
      <w:r>
        <w:fldChar w:fldCharType="begin"/>
      </w:r>
      <w:r w:rsidRPr="006D7CAF">
        <w:rPr>
          <w:lang w:val="en-US"/>
        </w:rPr>
        <w:instrText xml:space="preserve"> HYPERLINK "https://www.sciencedirect.com/science/article/pii/S0022510X20306079" \l "bb0430" </w:instrText>
      </w:r>
      <w:r>
        <w:fldChar w:fldCharType="separate"/>
      </w:r>
      <w:r w:rsidRPr="006D7CAF">
        <w:rPr>
          <w:rStyle w:val="anchor-text"/>
          <w:color w:val="0000FF"/>
          <w:u w:val="single"/>
          <w:lang w:val="en-US"/>
        </w:rPr>
        <w:t>86</w:t>
      </w:r>
      <w:r>
        <w:fldChar w:fldCharType="end"/>
      </w:r>
      <w:bookmarkEnd w:id="10"/>
      <w:r w:rsidRPr="006D7CAF">
        <w:rPr>
          <w:lang w:val="en-US"/>
        </w:rPr>
        <w:t>,</w:t>
      </w:r>
      <w:bookmarkStart w:id="11" w:name="bbb0435"/>
      <w:r>
        <w:fldChar w:fldCharType="begin"/>
      </w:r>
      <w:r w:rsidRPr="006D7CAF">
        <w:rPr>
          <w:lang w:val="en-US"/>
        </w:rPr>
        <w:instrText xml:space="preserve"> HYPERLINK "https://www.sciencedirect.com/science/article/pii/S0022510X20306079" \l "bb0435" </w:instrText>
      </w:r>
      <w:r>
        <w:fldChar w:fldCharType="separate"/>
      </w:r>
      <w:r w:rsidRPr="006D7CAF">
        <w:rPr>
          <w:rStyle w:val="anchor-text"/>
          <w:color w:val="0000FF"/>
          <w:u w:val="single"/>
          <w:lang w:val="en-US"/>
        </w:rPr>
        <w:t>87</w:t>
      </w:r>
      <w:r>
        <w:fldChar w:fldCharType="end"/>
      </w:r>
      <w:bookmarkEnd w:id="11"/>
      <w:r w:rsidRPr="006D7CAF">
        <w:rPr>
          <w:lang w:val="en-US"/>
        </w:rPr>
        <w:t xml:space="preserve">]. </w:t>
      </w:r>
      <w:hyperlink r:id="rId76" w:tooltip="Learn more about Neuroinflammation from ScienceDirect's AI-generated Topic Pages" w:history="1">
        <w:r w:rsidRPr="006D7CAF">
          <w:rPr>
            <w:rStyle w:val="Hyperlink"/>
            <w:lang w:val="en-US"/>
          </w:rPr>
          <w:t>Neuroinflammation</w:t>
        </w:r>
      </w:hyperlink>
      <w:r w:rsidRPr="006D7CAF">
        <w:rPr>
          <w:lang w:val="en-US"/>
        </w:rPr>
        <w:t xml:space="preserve"> may induce central GABAergic impairment, representing a common denominator for neuromotor and cognitive fatigue, executive deficits, and apathy in post-COVID-19 patients.</w:t>
      </w:r>
    </w:p>
    <w:p w14:paraId="625EA568" w14:textId="63FC7440" w:rsidR="00015223" w:rsidRPr="006D7CAF" w:rsidRDefault="00015223" w:rsidP="00A32EB8">
      <w:pPr>
        <w:autoSpaceDE w:val="0"/>
        <w:autoSpaceDN w:val="0"/>
        <w:adjustRightInd w:val="0"/>
        <w:spacing w:after="0" w:line="240" w:lineRule="auto"/>
        <w:rPr>
          <w:lang w:val="en-US"/>
        </w:rPr>
      </w:pPr>
    </w:p>
    <w:p w14:paraId="6704A38C" w14:textId="54FE31FD" w:rsidR="00015223" w:rsidRPr="006D7CAF" w:rsidRDefault="00015223" w:rsidP="00A32EB8">
      <w:pPr>
        <w:autoSpaceDE w:val="0"/>
        <w:autoSpaceDN w:val="0"/>
        <w:adjustRightInd w:val="0"/>
        <w:spacing w:after="0" w:line="240" w:lineRule="auto"/>
        <w:rPr>
          <w:lang w:val="en-US"/>
        </w:rPr>
      </w:pPr>
      <w:r w:rsidRPr="006D7CAF">
        <w:rPr>
          <w:lang w:val="en-US"/>
        </w:rPr>
        <w:t xml:space="preserve">Northoff &amp; Sibille, 2014: </w:t>
      </w:r>
    </w:p>
    <w:p w14:paraId="4A02C5CE" w14:textId="77777777" w:rsidR="00015223" w:rsidRPr="006D7CAF" w:rsidRDefault="00015223" w:rsidP="00015223">
      <w:pPr>
        <w:autoSpaceDE w:val="0"/>
        <w:autoSpaceDN w:val="0"/>
        <w:adjustRightInd w:val="0"/>
        <w:spacing w:after="0" w:line="240" w:lineRule="auto"/>
        <w:rPr>
          <w:lang w:val="en-US"/>
        </w:rPr>
      </w:pPr>
      <w:r w:rsidRPr="006D7CAF">
        <w:rPr>
          <w:lang w:val="en-US"/>
        </w:rPr>
        <w:t>Molecular studies in M</w:t>
      </w:r>
      <w:commentRangeStart w:id="12"/>
      <w:r w:rsidRPr="006D7CAF">
        <w:rPr>
          <w:lang w:val="en-US"/>
        </w:rPr>
        <w:t>DD</w:t>
      </w:r>
      <w:commentRangeEnd w:id="12"/>
      <w:r>
        <w:rPr>
          <w:rStyle w:val="CommentReference"/>
          <w:rFonts w:ascii="Calibri" w:eastAsia="Calibri" w:hAnsi="Calibri" w:cs="Times New Roman"/>
          <w:kern w:val="3"/>
        </w:rPr>
        <w:commentReference w:id="12"/>
      </w:r>
      <w:r w:rsidRPr="006D7CAF">
        <w:rPr>
          <w:lang w:val="en-US"/>
        </w:rPr>
        <w:t xml:space="preserve"> demonstrate changes in specific GABA interneurons, namely</w:t>
      </w:r>
    </w:p>
    <w:p w14:paraId="676B5E5A" w14:textId="77777777" w:rsidR="00015223" w:rsidRPr="006D7CAF" w:rsidRDefault="00015223" w:rsidP="00015223">
      <w:pPr>
        <w:autoSpaceDE w:val="0"/>
        <w:autoSpaceDN w:val="0"/>
        <w:adjustRightInd w:val="0"/>
        <w:spacing w:after="0" w:line="240" w:lineRule="auto"/>
        <w:rPr>
          <w:lang w:val="en-US"/>
        </w:rPr>
      </w:pPr>
      <w:r w:rsidRPr="006D7CAF">
        <w:rPr>
          <w:lang w:val="en-US"/>
        </w:rPr>
        <w:t>SST-positive and to a lesser extent PV-positive neurons, affecting the regulation of input/</w:t>
      </w:r>
    </w:p>
    <w:p w14:paraId="1D0F9FD4" w14:textId="77777777" w:rsidR="00015223" w:rsidRPr="006D7CAF" w:rsidRDefault="00015223" w:rsidP="00015223">
      <w:pPr>
        <w:autoSpaceDE w:val="0"/>
        <w:autoSpaceDN w:val="0"/>
        <w:adjustRightInd w:val="0"/>
        <w:spacing w:after="0" w:line="240" w:lineRule="auto"/>
        <w:rPr>
          <w:lang w:val="en-US"/>
        </w:rPr>
      </w:pPr>
      <w:r w:rsidRPr="006D7CAF">
        <w:rPr>
          <w:lang w:val="en-US"/>
        </w:rPr>
        <w:t>output of excitatory signals from and onto pyramidal neurons. We here hypothesize that</w:t>
      </w:r>
    </w:p>
    <w:p w14:paraId="7B734887" w14:textId="77777777" w:rsidR="00015223" w:rsidRPr="006D7CAF" w:rsidRDefault="00015223" w:rsidP="00015223">
      <w:pPr>
        <w:autoSpaceDE w:val="0"/>
        <w:autoSpaceDN w:val="0"/>
        <w:adjustRightInd w:val="0"/>
        <w:spacing w:after="0" w:line="240" w:lineRule="auto"/>
        <w:rPr>
          <w:lang w:val="en-US"/>
        </w:rPr>
      </w:pPr>
      <w:r w:rsidRPr="006D7CAF">
        <w:rPr>
          <w:lang w:val="en-US"/>
        </w:rPr>
        <w:t>such dysbalance at the local cell circuit affects the processing of information as it transits</w:t>
      </w:r>
    </w:p>
    <w:p w14:paraId="10B24BF2" w14:textId="77777777" w:rsidR="00015223" w:rsidRPr="006D7CAF" w:rsidRDefault="00015223" w:rsidP="00015223">
      <w:pPr>
        <w:autoSpaceDE w:val="0"/>
        <w:autoSpaceDN w:val="0"/>
        <w:adjustRightInd w:val="0"/>
        <w:spacing w:after="0" w:line="240" w:lineRule="auto"/>
        <w:rPr>
          <w:lang w:val="en-US"/>
        </w:rPr>
      </w:pPr>
      <w:r w:rsidRPr="006D7CAF">
        <w:rPr>
          <w:lang w:val="en-US"/>
        </w:rPr>
        <w:t>through cortical layers, translating, through multiple steps described here, to a dysbalance</w:t>
      </w:r>
    </w:p>
    <w:p w14:paraId="231841C8" w14:textId="77777777" w:rsidR="00015223" w:rsidRPr="006D7CAF" w:rsidRDefault="00015223" w:rsidP="00015223">
      <w:pPr>
        <w:autoSpaceDE w:val="0"/>
        <w:autoSpaceDN w:val="0"/>
        <w:adjustRightInd w:val="0"/>
        <w:spacing w:after="0" w:line="240" w:lineRule="auto"/>
        <w:rPr>
          <w:lang w:val="en-US"/>
        </w:rPr>
      </w:pPr>
      <w:r w:rsidRPr="006D7CAF">
        <w:rPr>
          <w:lang w:val="en-US"/>
        </w:rPr>
        <w:t>between the PACC and DLPFC as core regions of the DMN and executive network, and in</w:t>
      </w:r>
    </w:p>
    <w:p w14:paraId="74A05857" w14:textId="77777777" w:rsidR="00015223" w:rsidRPr="006D7CAF" w:rsidRDefault="00015223" w:rsidP="00015223">
      <w:pPr>
        <w:autoSpaceDE w:val="0"/>
        <w:autoSpaceDN w:val="0"/>
        <w:adjustRightInd w:val="0"/>
        <w:spacing w:after="0" w:line="240" w:lineRule="auto"/>
        <w:rPr>
          <w:lang w:val="en-US"/>
        </w:rPr>
      </w:pPr>
      <w:r w:rsidRPr="006D7CAF">
        <w:rPr>
          <w:lang w:val="en-US"/>
        </w:rPr>
        <w:t>turn leading to a dysbalance between internal and external mental contents in awareness in</w:t>
      </w:r>
    </w:p>
    <w:p w14:paraId="36D09D60" w14:textId="4669F4C5" w:rsidR="00015223" w:rsidRPr="006D7CAF" w:rsidRDefault="00015223" w:rsidP="00015223">
      <w:pPr>
        <w:autoSpaceDE w:val="0"/>
        <w:autoSpaceDN w:val="0"/>
        <w:adjustRightInd w:val="0"/>
        <w:spacing w:after="0" w:line="240" w:lineRule="auto"/>
        <w:rPr>
          <w:lang w:val="en-US"/>
        </w:rPr>
      </w:pPr>
      <w:r w:rsidRPr="006D7CAF">
        <w:rPr>
          <w:lang w:val="en-US"/>
        </w:rPr>
        <w:t>MDD as clinically observed.</w:t>
      </w:r>
    </w:p>
    <w:p w14:paraId="2F02BC28" w14:textId="1A80B6F8" w:rsidR="00E91D61" w:rsidRDefault="00E91D61" w:rsidP="00A32EB8">
      <w:pPr>
        <w:autoSpaceDE w:val="0"/>
        <w:autoSpaceDN w:val="0"/>
        <w:adjustRightInd w:val="0"/>
        <w:spacing w:after="0" w:line="240" w:lineRule="auto"/>
        <w:rPr>
          <w:rFonts w:ascii="NimbusRomNo9L-Regu" w:eastAsia="NimbusRomNo9L-Regu" w:cs="NimbusRomNo9L-Regu"/>
          <w:sz w:val="24"/>
          <w:szCs w:val="24"/>
          <w:lang w:val="en-US"/>
        </w:rPr>
      </w:pPr>
    </w:p>
    <w:p w14:paraId="4B4337C6" w14:textId="6CBF748E" w:rsidR="004D5E30" w:rsidRPr="006D7CAF" w:rsidRDefault="004D5E30" w:rsidP="00A32EB8">
      <w:pPr>
        <w:autoSpaceDE w:val="0"/>
        <w:autoSpaceDN w:val="0"/>
        <w:adjustRightInd w:val="0"/>
        <w:spacing w:after="0" w:line="240" w:lineRule="auto"/>
        <w:rPr>
          <w:rStyle w:val="author-wrapper"/>
          <w:lang w:val="en-US"/>
        </w:rPr>
      </w:pPr>
      <w:r w:rsidRPr="006D7CAF">
        <w:rPr>
          <w:rStyle w:val="author-wrapper"/>
          <w:lang w:val="en-US"/>
        </w:rPr>
        <w:t xml:space="preserve">Ferrucci et al., 2023: </w:t>
      </w:r>
    </w:p>
    <w:p w14:paraId="6062B246" w14:textId="0AADBA4A" w:rsidR="004D5E30" w:rsidRPr="006D7CAF" w:rsidRDefault="004D5E30" w:rsidP="004D5E30">
      <w:pPr>
        <w:autoSpaceDE w:val="0"/>
        <w:autoSpaceDN w:val="0"/>
        <w:adjustRightInd w:val="0"/>
        <w:spacing w:after="0" w:line="240" w:lineRule="auto"/>
        <w:rPr>
          <w:rStyle w:val="author-wrapper"/>
          <w:lang w:val="en-US"/>
        </w:rPr>
      </w:pPr>
      <w:r w:rsidRPr="006D7CAF">
        <w:rPr>
          <w:rStyle w:val="author-wrapper"/>
          <w:lang w:val="en-US"/>
        </w:rPr>
        <w:t>his examination showed significant A</w:t>
      </w:r>
      <w:r w:rsidRPr="004D5E30">
        <w:rPr>
          <w:rStyle w:val="author-wrapper"/>
        </w:rPr>
        <w:t>β</w:t>
      </w:r>
      <w:r w:rsidRPr="006D7CAF">
        <w:rPr>
          <w:rStyle w:val="author-wrapper"/>
          <w:lang w:val="en-US"/>
        </w:rPr>
        <w:t xml:space="preserve"> deposition in the superior and middle frontal cortex, and in the posterior cingulate cortex extending mildly in the rostral and caudal anterior cingulate areas. Although some other reports have already suggested that brain hypometabolism may be</w:t>
      </w:r>
    </w:p>
    <w:p w14:paraId="1CAC96AE" w14:textId="3634C8A7" w:rsidR="00B4014C" w:rsidRPr="006D7CAF" w:rsidRDefault="004D5E30" w:rsidP="00A32EB8">
      <w:pPr>
        <w:autoSpaceDE w:val="0"/>
        <w:autoSpaceDN w:val="0"/>
        <w:adjustRightInd w:val="0"/>
        <w:spacing w:after="0" w:line="240" w:lineRule="auto"/>
        <w:rPr>
          <w:lang w:val="en-US"/>
        </w:rPr>
      </w:pPr>
      <w:r w:rsidRPr="006D7CAF">
        <w:rPr>
          <w:rStyle w:val="author-wrapper"/>
          <w:lang w:val="en-US"/>
        </w:rPr>
        <w:t xml:space="preserve">associated with cognitive impairment at shorter intervals from SarsCov-2 infection, our study is the first to assess cognitive functions, brain metabolic activity and in a patient also amyloid PET one year after COVID-19, demonstrating that cerebral effects of COVID-19 can largely outlast the acute phase of the disease and even be followed by amyloid deposition. </w:t>
      </w:r>
      <w:r w:rsidR="00B4014C" w:rsidRPr="006D7CAF">
        <w:rPr>
          <w:lang w:val="en-US"/>
        </w:rPr>
        <w:t>Given growing consensus that MDD patients have a decrease in GABA levels in the brain and the revolutionary discovery that NMDA receptors antagonists.</w:t>
      </w:r>
    </w:p>
    <w:p w14:paraId="22027A59" w14:textId="77777777" w:rsidR="004D5E30" w:rsidRPr="006D7CAF" w:rsidRDefault="004D5E30" w:rsidP="00A32EB8">
      <w:pPr>
        <w:autoSpaceDE w:val="0"/>
        <w:autoSpaceDN w:val="0"/>
        <w:adjustRightInd w:val="0"/>
        <w:spacing w:after="0" w:line="240" w:lineRule="auto"/>
        <w:rPr>
          <w:lang w:val="en-US"/>
        </w:rPr>
      </w:pPr>
    </w:p>
    <w:p w14:paraId="14B2D39B" w14:textId="77777777" w:rsidR="004D5E30" w:rsidRPr="006D7CAF" w:rsidRDefault="004D5E30" w:rsidP="004D5E30">
      <w:pPr>
        <w:autoSpaceDE w:val="0"/>
        <w:autoSpaceDN w:val="0"/>
        <w:adjustRightInd w:val="0"/>
        <w:spacing w:after="0" w:line="240" w:lineRule="auto"/>
        <w:rPr>
          <w:lang w:val="en-US"/>
        </w:rPr>
      </w:pPr>
      <w:r w:rsidRPr="006D7CAF">
        <w:rPr>
          <w:lang w:val="en-US"/>
        </w:rPr>
        <w:t>Neuropsychological assessment: At T1, 6/7 patients (86%) showed main impairment in verbal</w:t>
      </w:r>
    </w:p>
    <w:p w14:paraId="7DE1FB3A" w14:textId="1A9CEEA1" w:rsidR="004D5E30" w:rsidRPr="006D7CAF" w:rsidRDefault="004D5E30" w:rsidP="004D5E30">
      <w:pPr>
        <w:autoSpaceDE w:val="0"/>
        <w:autoSpaceDN w:val="0"/>
        <w:adjustRightInd w:val="0"/>
        <w:spacing w:after="0" w:line="240" w:lineRule="auto"/>
        <w:rPr>
          <w:lang w:val="en-US"/>
        </w:rPr>
      </w:pPr>
      <w:r w:rsidRPr="006D7CAF">
        <w:rPr>
          <w:lang w:val="en-US"/>
        </w:rPr>
        <w:lastRenderedPageBreak/>
        <w:t>memory, processing speed, and visual attention; 5/7 patients</w:t>
      </w:r>
      <w:r w:rsidR="00C02ECC">
        <w:rPr>
          <w:lang w:val="en-US"/>
        </w:rPr>
        <w:t xml:space="preserve"> </w:t>
      </w:r>
      <w:r w:rsidRPr="006D7CAF">
        <w:rPr>
          <w:lang w:val="en-US"/>
        </w:rPr>
        <w:t>(71%) showed impairment in visuospatial learning and 4/7</w:t>
      </w:r>
      <w:r w:rsidR="00C02ECC">
        <w:rPr>
          <w:lang w:val="en-US"/>
        </w:rPr>
        <w:t xml:space="preserve"> </w:t>
      </w:r>
      <w:r w:rsidRPr="006D7CAF">
        <w:rPr>
          <w:lang w:val="en-US"/>
        </w:rPr>
        <w:t>(57%) delayed visuospatial recall. At T2, patients’ visuospatial learning had completely</w:t>
      </w:r>
      <w:r w:rsidR="00C02ECC">
        <w:rPr>
          <w:lang w:val="en-US"/>
        </w:rPr>
        <w:t xml:space="preserve"> </w:t>
      </w:r>
      <w:r w:rsidRPr="006D7CAF">
        <w:rPr>
          <w:lang w:val="en-US"/>
        </w:rPr>
        <w:t>recovered, but 5/7 still presented verbal memory deficits</w:t>
      </w:r>
      <w:r w:rsidR="00C02ECC">
        <w:rPr>
          <w:lang w:val="en-US"/>
        </w:rPr>
        <w:t xml:space="preserve"> </w:t>
      </w:r>
      <w:r w:rsidRPr="006D7CAF">
        <w:rPr>
          <w:lang w:val="en-US"/>
        </w:rPr>
        <w:t>(71%, 3 with stable profile, 1 worsened and 1 improved),</w:t>
      </w:r>
      <w:r w:rsidR="00C02ECC">
        <w:rPr>
          <w:lang w:val="en-US"/>
        </w:rPr>
        <w:t xml:space="preserve"> </w:t>
      </w:r>
      <w:r w:rsidRPr="006D7CAF">
        <w:rPr>
          <w:lang w:val="en-US"/>
        </w:rPr>
        <w:t>4/7 patients still exhibited processing and visual attention</w:t>
      </w:r>
    </w:p>
    <w:p w14:paraId="4F67AC72" w14:textId="190CE5D3" w:rsidR="004D5E30" w:rsidRPr="006D7CAF" w:rsidRDefault="004D5E30" w:rsidP="004D5E30">
      <w:pPr>
        <w:autoSpaceDE w:val="0"/>
        <w:autoSpaceDN w:val="0"/>
        <w:adjustRightInd w:val="0"/>
        <w:spacing w:after="0" w:line="240" w:lineRule="auto"/>
        <w:rPr>
          <w:lang w:val="en-US"/>
        </w:rPr>
      </w:pPr>
      <w:r w:rsidRPr="006D7CAF">
        <w:rPr>
          <w:lang w:val="en-US"/>
        </w:rPr>
        <w:t>deficits (57%, all improved), 2/7 still had attention deficits</w:t>
      </w:r>
      <w:r w:rsidR="00C02ECC">
        <w:rPr>
          <w:lang w:val="en-US"/>
        </w:rPr>
        <w:t xml:space="preserve"> </w:t>
      </w:r>
      <w:r w:rsidRPr="006D7CAF">
        <w:rPr>
          <w:lang w:val="en-US"/>
        </w:rPr>
        <w:t>(28%, both worsened), and 3/7 patients still had visual-spatial memory deficits (43%, 2 with a stable profile, 1 worsened).</w:t>
      </w:r>
    </w:p>
    <w:p w14:paraId="07A63ADE" w14:textId="36350C32" w:rsidR="004D5E30" w:rsidRPr="006D7CAF" w:rsidRDefault="004D5E30" w:rsidP="004D5E30">
      <w:pPr>
        <w:autoSpaceDE w:val="0"/>
        <w:autoSpaceDN w:val="0"/>
        <w:adjustRightInd w:val="0"/>
        <w:spacing w:after="0" w:line="240" w:lineRule="auto"/>
        <w:rPr>
          <w:lang w:val="en-US"/>
        </w:rPr>
      </w:pPr>
      <w:r w:rsidRPr="006D7CAF">
        <w:rPr>
          <w:lang w:val="en-US"/>
        </w:rPr>
        <w:t>Our findings confirm that cognitive abnormalities can</w:t>
      </w:r>
      <w:r w:rsidR="00C02ECC">
        <w:rPr>
          <w:lang w:val="en-US"/>
        </w:rPr>
        <w:t xml:space="preserve"> </w:t>
      </w:r>
      <w:r w:rsidRPr="006D7CAF">
        <w:rPr>
          <w:lang w:val="en-US"/>
        </w:rPr>
        <w:t>detect 12 months after patients have COVID-19 and in</w:t>
      </w:r>
      <w:r w:rsidR="00C02ECC">
        <w:rPr>
          <w:lang w:val="en-US"/>
        </w:rPr>
        <w:t xml:space="preserve"> </w:t>
      </w:r>
      <w:r w:rsidRPr="006D7CAF">
        <w:rPr>
          <w:lang w:val="en-US"/>
        </w:rPr>
        <w:t>many cases (42.8% in our sample) these are associated</w:t>
      </w:r>
      <w:r w:rsidR="00C02ECC">
        <w:rPr>
          <w:lang w:val="en-US"/>
        </w:rPr>
        <w:t xml:space="preserve"> </w:t>
      </w:r>
      <w:r w:rsidRPr="006D7CAF">
        <w:rPr>
          <w:lang w:val="en-US"/>
        </w:rPr>
        <w:t>with abnormal brain metabolism. Brain hypometabolism</w:t>
      </w:r>
      <w:r w:rsidR="00C02ECC">
        <w:rPr>
          <w:lang w:val="en-US"/>
        </w:rPr>
        <w:t xml:space="preserve"> </w:t>
      </w:r>
      <w:r w:rsidRPr="006D7CAF">
        <w:rPr>
          <w:lang w:val="en-US"/>
        </w:rPr>
        <w:t>patterns differed, and selectively involved the left temporal</w:t>
      </w:r>
      <w:r w:rsidR="00C02ECC">
        <w:rPr>
          <w:lang w:val="en-US"/>
        </w:rPr>
        <w:t xml:space="preserve"> </w:t>
      </w:r>
      <w:r w:rsidRPr="006D7CAF">
        <w:rPr>
          <w:lang w:val="en-US"/>
        </w:rPr>
        <w:t>mesial area, pontine area, and bilaterally the prefrontal</w:t>
      </w:r>
      <w:r w:rsidR="00C02ECC">
        <w:rPr>
          <w:lang w:val="en-US"/>
        </w:rPr>
        <w:t xml:space="preserve"> </w:t>
      </w:r>
      <w:r w:rsidRPr="006D7CAF">
        <w:rPr>
          <w:lang w:val="en-US"/>
        </w:rPr>
        <w:t>and parietal areas.</w:t>
      </w:r>
    </w:p>
    <w:p w14:paraId="5150634E" w14:textId="64AF27F3" w:rsidR="004D5E30" w:rsidRPr="006D7CAF" w:rsidRDefault="004D5E30" w:rsidP="004D5E30">
      <w:pPr>
        <w:autoSpaceDE w:val="0"/>
        <w:autoSpaceDN w:val="0"/>
        <w:adjustRightInd w:val="0"/>
        <w:spacing w:after="0" w:line="240" w:lineRule="auto"/>
        <w:rPr>
          <w:lang w:val="en-US"/>
        </w:rPr>
      </w:pPr>
      <w:r w:rsidRPr="006D7CAF">
        <w:rPr>
          <w:lang w:val="en-US"/>
        </w:rPr>
        <w:t>Our results suggest that, in addition to cognitive changes,</w:t>
      </w:r>
      <w:r w:rsidR="00C02ECC">
        <w:rPr>
          <w:lang w:val="en-US"/>
        </w:rPr>
        <w:t xml:space="preserve"> </w:t>
      </w:r>
      <w:r w:rsidRPr="006D7CAF">
        <w:rPr>
          <w:lang w:val="en-US"/>
        </w:rPr>
        <w:t>SarsCov-2 infection can also induce abnormalities in brain</w:t>
      </w:r>
      <w:r w:rsidR="00C02ECC">
        <w:rPr>
          <w:lang w:val="en-US"/>
        </w:rPr>
        <w:t xml:space="preserve"> </w:t>
      </w:r>
      <w:r w:rsidRPr="006D7CAF">
        <w:rPr>
          <w:lang w:val="en-US"/>
        </w:rPr>
        <w:t>metabolism and possibly amyloid deposition that persists</w:t>
      </w:r>
    </w:p>
    <w:p w14:paraId="13FE95A2" w14:textId="77777777" w:rsidR="004D5E30" w:rsidRPr="006D7CAF" w:rsidRDefault="004D5E30" w:rsidP="004D5E30">
      <w:pPr>
        <w:autoSpaceDE w:val="0"/>
        <w:autoSpaceDN w:val="0"/>
        <w:adjustRightInd w:val="0"/>
        <w:spacing w:after="0" w:line="240" w:lineRule="auto"/>
        <w:rPr>
          <w:lang w:val="en-US"/>
        </w:rPr>
      </w:pPr>
      <w:r w:rsidRPr="006D7CAF">
        <w:rPr>
          <w:lang w:val="en-US"/>
        </w:rPr>
        <w:t>one year after infection.</w:t>
      </w:r>
    </w:p>
    <w:p w14:paraId="22241FCF" w14:textId="1CDC40EC" w:rsidR="004D5E30" w:rsidRPr="006D7CAF" w:rsidRDefault="004D5E30" w:rsidP="004D5E30">
      <w:pPr>
        <w:autoSpaceDE w:val="0"/>
        <w:autoSpaceDN w:val="0"/>
        <w:adjustRightInd w:val="0"/>
        <w:spacing w:after="0" w:line="240" w:lineRule="auto"/>
        <w:rPr>
          <w:lang w:val="en-US"/>
        </w:rPr>
      </w:pPr>
      <w:r w:rsidRPr="006D7CAF">
        <w:rPr>
          <w:lang w:val="en-US"/>
        </w:rPr>
        <w:t>Neurological sequelae, including the cognitive impairment leading to Alzheimer’s disease might in the future be a</w:t>
      </w:r>
      <w:r w:rsidR="00C02ECC">
        <w:rPr>
          <w:lang w:val="en-US"/>
        </w:rPr>
        <w:t xml:space="preserve"> </w:t>
      </w:r>
      <w:r w:rsidRPr="006D7CAF">
        <w:rPr>
          <w:lang w:val="en-US"/>
        </w:rPr>
        <w:t>major feature complicating COVID-19. Further studies need</w:t>
      </w:r>
      <w:r w:rsidR="00C02ECC">
        <w:rPr>
          <w:lang w:val="en-US"/>
        </w:rPr>
        <w:t xml:space="preserve"> </w:t>
      </w:r>
      <w:r w:rsidRPr="006D7CAF">
        <w:rPr>
          <w:lang w:val="en-US"/>
        </w:rPr>
        <w:t>to explain the pathophysiological mechanisms underlying the</w:t>
      </w:r>
      <w:r w:rsidR="00C02ECC">
        <w:rPr>
          <w:lang w:val="en-US"/>
        </w:rPr>
        <w:t xml:space="preserve"> </w:t>
      </w:r>
      <w:r w:rsidRPr="006D7CAF">
        <w:rPr>
          <w:lang w:val="en-US"/>
        </w:rPr>
        <w:t>long-term neurological consequences of SarsCov-2 infection</w:t>
      </w:r>
      <w:r w:rsidR="00C02ECC">
        <w:rPr>
          <w:lang w:val="en-US"/>
        </w:rPr>
        <w:t xml:space="preserve"> </w:t>
      </w:r>
      <w:r w:rsidRPr="006D7CAF">
        <w:rPr>
          <w:lang w:val="en-US"/>
        </w:rPr>
        <w:t>and its possible correlation with amyloid-related cognitive</w:t>
      </w:r>
      <w:r w:rsidR="00C02ECC">
        <w:rPr>
          <w:lang w:val="en-US"/>
        </w:rPr>
        <w:t xml:space="preserve"> </w:t>
      </w:r>
      <w:r w:rsidRPr="006D7CAF">
        <w:rPr>
          <w:lang w:val="en-US"/>
        </w:rPr>
        <w:t>impairment.</w:t>
      </w:r>
    </w:p>
    <w:p w14:paraId="612D5B65" w14:textId="24180D08" w:rsidR="00B4014C" w:rsidRPr="006D7CAF" w:rsidRDefault="00B4014C" w:rsidP="00A32EB8">
      <w:pPr>
        <w:autoSpaceDE w:val="0"/>
        <w:autoSpaceDN w:val="0"/>
        <w:adjustRightInd w:val="0"/>
        <w:spacing w:after="0" w:line="240" w:lineRule="auto"/>
        <w:rPr>
          <w:lang w:val="en-US"/>
        </w:rPr>
      </w:pPr>
    </w:p>
    <w:p w14:paraId="1F1BFF9B" w14:textId="1555E39B" w:rsidR="00B4014C" w:rsidRPr="006D7CAF" w:rsidRDefault="00B4014C" w:rsidP="00A32EB8">
      <w:pPr>
        <w:autoSpaceDE w:val="0"/>
        <w:autoSpaceDN w:val="0"/>
        <w:adjustRightInd w:val="0"/>
        <w:spacing w:after="0" w:line="240" w:lineRule="auto"/>
        <w:rPr>
          <w:lang w:val="en-US"/>
        </w:rPr>
      </w:pPr>
      <w:r w:rsidRPr="006D7CAF">
        <w:rPr>
          <w:lang w:val="en-US"/>
        </w:rPr>
        <w:t>Monje &amp; Iwasaki, 2022:</w:t>
      </w:r>
    </w:p>
    <w:p w14:paraId="1B097340" w14:textId="45BBE5F0" w:rsidR="004D5E30" w:rsidRPr="006D7CAF" w:rsidRDefault="004D5E30" w:rsidP="00A32EB8">
      <w:pPr>
        <w:autoSpaceDE w:val="0"/>
        <w:autoSpaceDN w:val="0"/>
        <w:adjustRightInd w:val="0"/>
        <w:spacing w:after="0" w:line="240" w:lineRule="auto"/>
        <w:rPr>
          <w:lang w:val="en-US"/>
        </w:rPr>
      </w:pPr>
      <w:r w:rsidRPr="006D7CAF">
        <w:rPr>
          <w:lang w:val="en-US"/>
        </w:rPr>
        <w:t>We highlight a number of possible underlying disease mechanisms that could contribute to CNS dysfunction, including neuroinflammatory effects of distal inflammation, autoimmunity, direct CNS infection, herpesvirus reactivation, neurovascular disease, and hypoxia. What accounts for the persistent nature of cognitive dysfunction in neuro-COVID remains to be fully elucidated. Continuing neuroinflammation could reflect a lasting state change in CNS immune and glial cells that perpetuates neural pathophysiology, ongoing endotheliopathy with microvascular disruption and blood-brain-barrier breakdown, autoimmunity, response to ongoing peripheral inflammation.</w:t>
      </w:r>
    </w:p>
    <w:p w14:paraId="5470FC68" w14:textId="0D9001EB" w:rsidR="002F5F82" w:rsidRPr="006D7CAF" w:rsidRDefault="002F5F82" w:rsidP="00A32EB8">
      <w:pPr>
        <w:autoSpaceDE w:val="0"/>
        <w:autoSpaceDN w:val="0"/>
        <w:adjustRightInd w:val="0"/>
        <w:spacing w:after="0" w:line="240" w:lineRule="auto"/>
        <w:rPr>
          <w:lang w:val="en-US"/>
        </w:rPr>
      </w:pPr>
    </w:p>
    <w:p w14:paraId="68A64991" w14:textId="10FBF743" w:rsidR="002F5F82" w:rsidRPr="006D7CAF" w:rsidRDefault="002F5F82" w:rsidP="00A32EB8">
      <w:pPr>
        <w:autoSpaceDE w:val="0"/>
        <w:autoSpaceDN w:val="0"/>
        <w:adjustRightInd w:val="0"/>
        <w:spacing w:after="0" w:line="240" w:lineRule="auto"/>
        <w:rPr>
          <w:lang w:val="en-US"/>
        </w:rPr>
      </w:pPr>
      <w:r w:rsidRPr="006D7CAF">
        <w:rPr>
          <w:lang w:val="en-US"/>
        </w:rPr>
        <w:t>Hugon, Msika, Queneau, Farid &amp; Paquet, 2021:</w:t>
      </w:r>
    </w:p>
    <w:p w14:paraId="0E1999EB" w14:textId="40F2DF8E" w:rsidR="002F5F82" w:rsidRPr="00E3403A" w:rsidRDefault="002F5F82" w:rsidP="002F5F82">
      <w:pPr>
        <w:autoSpaceDE w:val="0"/>
        <w:autoSpaceDN w:val="0"/>
        <w:adjustRightInd w:val="0"/>
        <w:spacing w:after="0" w:line="240" w:lineRule="auto"/>
        <w:rPr>
          <w:rStyle w:val="author-wrapper"/>
          <w:lang w:val="en-US"/>
        </w:rPr>
      </w:pPr>
      <w:r w:rsidRPr="006D7CAF">
        <w:rPr>
          <w:lang w:val="en-US"/>
        </w:rPr>
        <w:t>In brain fog and cognitive deficits.</w:t>
      </w:r>
      <w:r w:rsidR="00E3403A">
        <w:rPr>
          <w:lang w:val="en-US"/>
        </w:rPr>
        <w:t xml:space="preserve"> </w:t>
      </w:r>
      <w:r w:rsidRPr="006D7CAF">
        <w:rPr>
          <w:rStyle w:val="author-wrapper"/>
          <w:lang w:val="en-US"/>
        </w:rPr>
        <w:t>Previous experimental and clinical studies have</w:t>
      </w:r>
      <w:r w:rsidR="00E3403A">
        <w:rPr>
          <w:rStyle w:val="author-wrapper"/>
          <w:lang w:val="en-US"/>
        </w:rPr>
        <w:t xml:space="preserve"> </w:t>
      </w:r>
      <w:r w:rsidRPr="006D7CAF">
        <w:rPr>
          <w:rStyle w:val="author-wrapper"/>
          <w:lang w:val="en-US"/>
        </w:rPr>
        <w:t>shown that the anterior and posterior cingulate cortex are</w:t>
      </w:r>
      <w:r w:rsidR="00E3403A">
        <w:rPr>
          <w:rStyle w:val="author-wrapper"/>
          <w:lang w:val="en-US"/>
        </w:rPr>
        <w:t xml:space="preserve"> </w:t>
      </w:r>
      <w:r w:rsidRPr="006D7CAF">
        <w:rPr>
          <w:rStyle w:val="author-wrapper"/>
          <w:lang w:val="en-US"/>
        </w:rPr>
        <w:t>implicated in emotions, memory, depression, and decision</w:t>
      </w:r>
      <w:r w:rsidR="00E3403A">
        <w:rPr>
          <w:rStyle w:val="author-wrapper"/>
          <w:lang w:val="en-US"/>
        </w:rPr>
        <w:t xml:space="preserve"> </w:t>
      </w:r>
      <w:r w:rsidRPr="006D7CAF">
        <w:rPr>
          <w:rStyle w:val="author-wrapper"/>
          <w:lang w:val="en-US"/>
        </w:rPr>
        <w:t>of action [7, 7]. The anterior cingulate cortex receives inputs</w:t>
      </w:r>
      <w:r w:rsidR="00E3403A">
        <w:rPr>
          <w:rStyle w:val="author-wrapper"/>
          <w:lang w:val="en-US"/>
        </w:rPr>
        <w:t xml:space="preserve"> </w:t>
      </w:r>
      <w:r w:rsidRPr="006D7CAF">
        <w:rPr>
          <w:rStyle w:val="author-wrapper"/>
          <w:lang w:val="en-US"/>
        </w:rPr>
        <w:t>from the orbitofrontal cortex in the outcome rewards. The</w:t>
      </w:r>
      <w:r w:rsidR="00E3403A">
        <w:rPr>
          <w:rStyle w:val="author-wrapper"/>
          <w:lang w:val="en-US"/>
        </w:rPr>
        <w:t xml:space="preserve"> </w:t>
      </w:r>
      <w:r w:rsidRPr="006D7CAF">
        <w:rPr>
          <w:rStyle w:val="author-wrapper"/>
          <w:lang w:val="en-US"/>
        </w:rPr>
        <w:t>posterior cingulate cortex has outcomes towards the hippocampus. These deficient brain connections could explain</w:t>
      </w:r>
      <w:r w:rsidR="00E3403A">
        <w:rPr>
          <w:rStyle w:val="author-wrapper"/>
          <w:lang w:val="en-US"/>
        </w:rPr>
        <w:t xml:space="preserve"> </w:t>
      </w:r>
      <w:r w:rsidRPr="006D7CAF">
        <w:rPr>
          <w:rStyle w:val="author-wrapper"/>
          <w:lang w:val="en-US"/>
        </w:rPr>
        <w:t>the cognitive signs observed in these patients and characterized by episodic memory deficits and abnormal executive</w:t>
      </w:r>
      <w:r w:rsidR="00E3403A">
        <w:rPr>
          <w:rStyle w:val="author-wrapper"/>
          <w:lang w:val="en-US"/>
        </w:rPr>
        <w:t xml:space="preserve"> </w:t>
      </w:r>
      <w:r w:rsidRPr="006D7CAF">
        <w:rPr>
          <w:rStyle w:val="author-wrapper"/>
          <w:lang w:val="en-US"/>
        </w:rPr>
        <w:t>and attentional functions. Hypometabolisms of the cingulate</w:t>
      </w:r>
      <w:r w:rsidR="00E3403A">
        <w:rPr>
          <w:rStyle w:val="author-wrapper"/>
          <w:lang w:val="en-US"/>
        </w:rPr>
        <w:t xml:space="preserve"> </w:t>
      </w:r>
      <w:r w:rsidRPr="006D7CAF">
        <w:rPr>
          <w:rStyle w:val="author-wrapper"/>
          <w:lang w:val="en-US"/>
        </w:rPr>
        <w:t>cortex have been observed in several neurological and psychiatric diseases including mild cognitive impairment due</w:t>
      </w:r>
      <w:r w:rsidR="00E3403A">
        <w:rPr>
          <w:rStyle w:val="author-wrapper"/>
          <w:lang w:val="en-US"/>
        </w:rPr>
        <w:t xml:space="preserve"> </w:t>
      </w:r>
      <w:r w:rsidRPr="006D7CAF">
        <w:rPr>
          <w:rStyle w:val="author-wrapper"/>
          <w:lang w:val="en-US"/>
        </w:rPr>
        <w:t>to Alzheimer’s disease, severe depression and</w:t>
      </w:r>
      <w:r w:rsidR="00E3403A">
        <w:rPr>
          <w:rStyle w:val="author-wrapper"/>
          <w:lang w:val="en-US"/>
        </w:rPr>
        <w:t xml:space="preserve"> </w:t>
      </w:r>
      <w:r w:rsidRPr="006D7CAF">
        <w:rPr>
          <w:rStyle w:val="author-wrapper"/>
          <w:lang w:val="en-US"/>
        </w:rPr>
        <w:t>internet gam</w:t>
      </w:r>
      <w:r w:rsidRPr="00E3403A">
        <w:rPr>
          <w:rStyle w:val="author-wrapper"/>
          <w:lang w:val="en-US"/>
        </w:rPr>
        <w:t>ing disorder [1, 3, 6, 10].</w:t>
      </w:r>
    </w:p>
    <w:p w14:paraId="7200533C" w14:textId="3C8DA905" w:rsidR="00015223" w:rsidRPr="00E3403A" w:rsidRDefault="00015223" w:rsidP="00A32EB8">
      <w:pPr>
        <w:autoSpaceDE w:val="0"/>
        <w:autoSpaceDN w:val="0"/>
        <w:adjustRightInd w:val="0"/>
        <w:spacing w:after="0" w:line="240" w:lineRule="auto"/>
        <w:rPr>
          <w:rFonts w:ascii="NimbusRomNo9L-Regu" w:eastAsia="NimbusRomNo9L-Regu" w:cs="NimbusRomNo9L-Regu"/>
          <w:sz w:val="24"/>
          <w:szCs w:val="24"/>
          <w:lang w:val="en-US"/>
        </w:rPr>
      </w:pPr>
    </w:p>
    <w:p w14:paraId="2199E8A1" w14:textId="0B251477" w:rsidR="002F5F82" w:rsidRPr="006D7CAF" w:rsidRDefault="002F5F82" w:rsidP="00A32EB8">
      <w:pPr>
        <w:autoSpaceDE w:val="0"/>
        <w:autoSpaceDN w:val="0"/>
        <w:adjustRightInd w:val="0"/>
        <w:spacing w:after="0" w:line="240" w:lineRule="auto"/>
        <w:rPr>
          <w:rFonts w:ascii="NimbusRomNo9L-Regu" w:eastAsia="NimbusRomNo9L-Regu" w:cs="NimbusRomNo9L-Regu"/>
          <w:sz w:val="24"/>
          <w:szCs w:val="24"/>
          <w:lang w:val="da-DK"/>
        </w:rPr>
      </w:pPr>
      <w:r w:rsidRPr="006D7CAF">
        <w:rPr>
          <w:rFonts w:ascii="NimbusRomNo9L-Regu" w:eastAsia="NimbusRomNo9L-Regu" w:cs="NimbusRomNo9L-Regu"/>
          <w:sz w:val="24"/>
          <w:szCs w:val="24"/>
          <w:lang w:val="da-DK"/>
        </w:rPr>
        <w:t xml:space="preserve">Cecchetti et al., 2022: </w:t>
      </w:r>
    </w:p>
    <w:p w14:paraId="6302BCD1" w14:textId="38773252" w:rsidR="00EF6430" w:rsidRDefault="00EF6430" w:rsidP="00EF6430">
      <w:pPr>
        <w:autoSpaceDE w:val="0"/>
        <w:autoSpaceDN w:val="0"/>
        <w:adjustRightInd w:val="0"/>
        <w:spacing w:after="0" w:line="240" w:lineRule="auto"/>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However, up to date only few studies have explored cognitive involvement through structured neuropsychological assessments.</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Concerning brain alterations, a recent British MRI</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study of 394 patients with available scans before and after</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COVID-19 revealed a loss of grey matter</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(GM) in limbic cortical areas directly linked to the primary olfactory</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and gustatory systems, possible hallmark of the cerebral</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spread of the virus [16]</w:t>
      </w:r>
      <w:r>
        <w:rPr>
          <w:rFonts w:ascii="Times New Roman" w:eastAsia="NimbusRomNo9L-Regu" w:hAnsi="Times New Roman" w:cs="Times New Roman"/>
          <w:sz w:val="24"/>
          <w:szCs w:val="24"/>
          <w:lang w:val="en-US"/>
        </w:rPr>
        <w:t>.</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Since neuropathology excluded irreversible neocortical</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damage and highlighted a pronounced microglia activation</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within white matter (WM), cortical hypometabolism has</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been interpreted as a consequence of remote WM or brain-stem damage [17]</w:t>
      </w:r>
      <w:r>
        <w:rPr>
          <w:rFonts w:ascii="Times New Roman" w:eastAsia="NimbusRomNo9L-Regu" w:hAnsi="Times New Roman" w:cs="Times New Roman"/>
          <w:sz w:val="24"/>
          <w:szCs w:val="24"/>
          <w:lang w:val="en-US"/>
        </w:rPr>
        <w:t>.</w:t>
      </w:r>
      <w:r w:rsidR="00CB2408">
        <w:rPr>
          <w:rFonts w:ascii="Times New Roman" w:eastAsia="NimbusRomNo9L-Regu" w:hAnsi="Times New Roman" w:cs="Times New Roman"/>
          <w:sz w:val="24"/>
          <w:szCs w:val="24"/>
          <w:lang w:val="en-US"/>
        </w:rPr>
        <w:t xml:space="preserve"> </w:t>
      </w:r>
      <w:r>
        <w:rPr>
          <w:rFonts w:ascii="Times New Roman" w:eastAsia="NimbusRomNo9L-Regu" w:hAnsi="Times New Roman" w:cs="Times New Roman"/>
          <w:sz w:val="24"/>
          <w:szCs w:val="24"/>
          <w:lang w:val="en-US"/>
        </w:rPr>
        <w:t>M</w:t>
      </w:r>
      <w:r w:rsidRPr="00EF6430">
        <w:rPr>
          <w:rFonts w:ascii="Times New Roman" w:eastAsia="NimbusRomNo9L-Regu" w:hAnsi="Times New Roman" w:cs="Times New Roman"/>
          <w:sz w:val="24"/>
          <w:szCs w:val="24"/>
          <w:lang w:val="en-US"/>
        </w:rPr>
        <w:t>oreover, in our previous EEG study</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on 18 acute COVID-19 patients, we suggested that EEG</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alterations might represent a useful tool to evaluate early</w:t>
      </w:r>
      <w:r>
        <w:rPr>
          <w:rFonts w:ascii="Times New Roman" w:eastAsia="NimbusRomNo9L-Regu" w:hAnsi="Times New Roman" w:cs="Times New Roman"/>
          <w:sz w:val="24"/>
          <w:szCs w:val="24"/>
          <w:lang w:val="en-US"/>
        </w:rPr>
        <w:t xml:space="preserve"> c</w:t>
      </w:r>
      <w:r w:rsidRPr="00EF6430">
        <w:rPr>
          <w:rFonts w:ascii="Times New Roman" w:eastAsia="NimbusRomNo9L-Regu" w:hAnsi="Times New Roman" w:cs="Times New Roman"/>
          <w:sz w:val="24"/>
          <w:szCs w:val="24"/>
          <w:lang w:val="en-US"/>
        </w:rPr>
        <w:t>erebral involvement in COVID-19; a frequent finding in</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our cohort was an anterior</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prevalence of slow waves, correlating with metabolic and hypoxic alterations [18–20]</w:t>
      </w:r>
      <w:r>
        <w:rPr>
          <w:rFonts w:ascii="Times New Roman" w:eastAsia="NimbusRomNo9L-Regu" w:hAnsi="Times New Roman" w:cs="Times New Roman"/>
          <w:sz w:val="24"/>
          <w:szCs w:val="24"/>
          <w:lang w:val="en-US"/>
        </w:rPr>
        <w:t>.</w:t>
      </w:r>
    </w:p>
    <w:p w14:paraId="7484064A" w14:textId="3F7D6825" w:rsidR="00EF6430" w:rsidRDefault="00EF6430" w:rsidP="00EF6430">
      <w:pPr>
        <w:autoSpaceDE w:val="0"/>
        <w:autoSpaceDN w:val="0"/>
        <w:adjustRightInd w:val="0"/>
        <w:spacing w:after="0" w:line="240" w:lineRule="auto"/>
        <w:rPr>
          <w:rFonts w:ascii="Times New Roman" w:eastAsia="NimbusRomNo9L-Regu" w:hAnsi="Times New Roman" w:cs="Times New Roman"/>
          <w:sz w:val="24"/>
          <w:szCs w:val="24"/>
          <w:lang w:val="en-US"/>
        </w:rPr>
      </w:pPr>
      <w:r w:rsidRPr="00EF6430">
        <w:rPr>
          <w:rFonts w:ascii="Times New Roman" w:eastAsia="NimbusRomNo9L-Regu" w:hAnsi="Times New Roman" w:cs="Times New Roman"/>
          <w:sz w:val="24"/>
          <w:szCs w:val="24"/>
          <w:lang w:val="en-US"/>
        </w:rPr>
        <w:lastRenderedPageBreak/>
        <w:t>Considering the lack of longitudinal studies with long</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follow-up and with structured neuropsychological and EEG</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assessments, we aimed at exploring longitudinal cognitive and concomitant EEG features in a population of adult</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COVID-19 survivors up to 10 months after hospital discharge.</w:t>
      </w:r>
    </w:p>
    <w:p w14:paraId="2E2F0B53" w14:textId="57A9F506" w:rsidR="00EF6430" w:rsidRDefault="00EF6430" w:rsidP="00EF6430">
      <w:pPr>
        <w:autoSpaceDE w:val="0"/>
        <w:autoSpaceDN w:val="0"/>
        <w:adjustRightInd w:val="0"/>
        <w:spacing w:after="0" w:line="240" w:lineRule="auto"/>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 xml:space="preserve">Neuropsychological </w:t>
      </w:r>
      <w:r w:rsidR="00237D19">
        <w:rPr>
          <w:rFonts w:ascii="Times New Roman" w:eastAsia="NimbusRomNo9L-Regu" w:hAnsi="Times New Roman" w:cs="Times New Roman"/>
          <w:sz w:val="24"/>
          <w:szCs w:val="24"/>
          <w:lang w:val="en-US"/>
        </w:rPr>
        <w:t>assessments -&gt; A battery of tests investigating the main cognitive domains (global cognition, executive functions, memory, visuospatial functions, language) was implemented. At each timepoint, the presence of cognitive impairment was defined by a performance lower than the normal values in at least two tests within the same domain.</w:t>
      </w:r>
    </w:p>
    <w:p w14:paraId="2E29BDB9" w14:textId="26161256" w:rsidR="00E731C7" w:rsidRDefault="00E731C7" w:rsidP="00E731C7">
      <w:pPr>
        <w:autoSpaceDE w:val="0"/>
        <w:autoSpaceDN w:val="0"/>
        <w:adjustRightInd w:val="0"/>
        <w:spacing w:after="0" w:line="240" w:lineRule="auto"/>
        <w:rPr>
          <w:rFonts w:ascii="Times New Roman" w:eastAsia="NimbusRomNo9L-Regu" w:hAnsi="Times New Roman" w:cs="Times New Roman"/>
          <w:sz w:val="24"/>
          <w:szCs w:val="24"/>
          <w:lang w:val="en-US"/>
        </w:rPr>
      </w:pPr>
      <w:r w:rsidRPr="00E731C7">
        <w:rPr>
          <w:rFonts w:ascii="Times New Roman" w:eastAsia="NimbusRomNo9L-Regu" w:hAnsi="Times New Roman" w:cs="Times New Roman"/>
          <w:sz w:val="24"/>
          <w:szCs w:val="24"/>
          <w:lang w:val="en-US"/>
        </w:rPr>
        <w:t>Patients also showed a</w:t>
      </w:r>
      <w:r w:rsidR="00CB2408">
        <w:rPr>
          <w:rFonts w:ascii="Times New Roman" w:eastAsia="NimbusRomNo9L-Regu" w:hAnsi="Times New Roman" w:cs="Times New Roman"/>
          <w:sz w:val="24"/>
          <w:szCs w:val="24"/>
          <w:lang w:val="en-US"/>
        </w:rPr>
        <w:t xml:space="preserve"> </w:t>
      </w:r>
      <w:r w:rsidRPr="00E731C7">
        <w:rPr>
          <w:rFonts w:ascii="Times New Roman" w:eastAsia="NimbusRomNo9L-Regu" w:hAnsi="Times New Roman" w:cs="Times New Roman"/>
          <w:sz w:val="24"/>
          <w:szCs w:val="24"/>
          <w:lang w:val="en-US"/>
        </w:rPr>
        <w:t>greater</w:t>
      </w:r>
      <w:commentRangeStart w:id="13"/>
      <w:r w:rsidRPr="00E731C7">
        <w:rPr>
          <w:rFonts w:ascii="Times New Roman" w:eastAsia="NimbusRomNo9L-Regu" w:hAnsi="Times New Roman" w:cs="Times New Roman"/>
          <w:sz w:val="24"/>
          <w:szCs w:val="24"/>
          <w:lang w:val="en-US"/>
        </w:rPr>
        <w:t xml:space="preserve"> CSD </w:t>
      </w:r>
      <w:commentRangeEnd w:id="13"/>
      <w:r>
        <w:rPr>
          <w:rStyle w:val="CommentReference"/>
          <w:rFonts w:ascii="Calibri" w:eastAsia="Calibri" w:hAnsi="Calibri" w:cs="Times New Roman"/>
          <w:kern w:val="3"/>
        </w:rPr>
        <w:commentReference w:id="13"/>
      </w:r>
      <w:r w:rsidRPr="00E731C7">
        <w:rPr>
          <w:rFonts w:ascii="Times New Roman" w:eastAsia="NimbusRomNo9L-Regu" w:hAnsi="Times New Roman" w:cs="Times New Roman"/>
          <w:sz w:val="24"/>
          <w:szCs w:val="24"/>
          <w:lang w:val="en-US"/>
        </w:rPr>
        <w:t>at delta frequency band in bilateral frontal and</w:t>
      </w:r>
      <w:r w:rsidR="00CB2408">
        <w:rPr>
          <w:rFonts w:ascii="Times New Roman" w:eastAsia="NimbusRomNo9L-Regu" w:hAnsi="Times New Roman" w:cs="Times New Roman"/>
          <w:sz w:val="24"/>
          <w:szCs w:val="24"/>
          <w:lang w:val="en-US"/>
        </w:rPr>
        <w:t xml:space="preserve"> </w:t>
      </w:r>
      <w:r w:rsidRPr="00E731C7">
        <w:rPr>
          <w:rFonts w:ascii="Times New Roman" w:eastAsia="NimbusRomNo9L-Regu" w:hAnsi="Times New Roman" w:cs="Times New Roman"/>
          <w:sz w:val="24"/>
          <w:szCs w:val="24"/>
          <w:lang w:val="en-US"/>
        </w:rPr>
        <w:t>central-temporal regions when compared to healthy controls</w:t>
      </w:r>
      <w:r>
        <w:rPr>
          <w:rFonts w:ascii="Times New Roman" w:eastAsia="NimbusRomNo9L-Regu" w:hAnsi="Times New Roman" w:cs="Times New Roman"/>
          <w:sz w:val="24"/>
          <w:szCs w:val="24"/>
          <w:lang w:val="en-US"/>
        </w:rPr>
        <w:t>.</w:t>
      </w:r>
    </w:p>
    <w:p w14:paraId="48B61618" w14:textId="5486A59E" w:rsidR="00084E78" w:rsidRDefault="00084E78" w:rsidP="00084E78">
      <w:pPr>
        <w:autoSpaceDE w:val="0"/>
        <w:autoSpaceDN w:val="0"/>
        <w:adjustRightInd w:val="0"/>
        <w:spacing w:after="0" w:line="240" w:lineRule="auto"/>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I</w:t>
      </w:r>
      <w:r w:rsidRPr="00084E78">
        <w:rPr>
          <w:rFonts w:ascii="Times New Roman" w:eastAsia="NimbusRomNo9L-Regu" w:hAnsi="Times New Roman" w:cs="Times New Roman"/>
          <w:sz w:val="24"/>
          <w:szCs w:val="24"/>
          <w:lang w:val="en-US"/>
        </w:rPr>
        <w:t>n this study, we did not explore neuroinflammation,</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which has been previously demonstrated to play a certain</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role in the development, maintenance or recovery of cognitive and neuropsychiatric symptoms [8, 11].</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Pathological cortical deafferentation, thus, does</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not entirely explain findings at delta band. We hypothesize</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that some sort of compensatory mechanisms might have</w:t>
      </w:r>
      <w:r>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been triggered in high-performing patients.</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Delta oscillations,</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especially in anterior regions of the brain, have</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been indeed related to a better performance in attention</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shifting and working memory tasks [49</w:t>
      </w:r>
      <w:r>
        <w:rPr>
          <w:rFonts w:ascii="Times New Roman" w:eastAsia="NimbusRomNo9L-Regu" w:hAnsi="Times New Roman" w:cs="Times New Roman"/>
          <w:sz w:val="24"/>
          <w:szCs w:val="24"/>
          <w:lang w:val="en-US"/>
        </w:rPr>
        <w:t>Harmoney</w:t>
      </w:r>
      <w:r w:rsidRPr="00084E78">
        <w:rPr>
          <w:rFonts w:ascii="Times New Roman" w:eastAsia="NimbusRomNo9L-Regu" w:hAnsi="Times New Roman" w:cs="Times New Roman"/>
          <w:sz w:val="24"/>
          <w:szCs w:val="24"/>
          <w:lang w:val="en-US"/>
        </w:rPr>
        <w:t>].</w:t>
      </w:r>
      <w:r>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Consistently, we</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observed a significant positive correlation of delta CSD</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with TMT and FAB, which investigate the same skills</w:t>
      </w:r>
      <w:r w:rsidR="00CB2408">
        <w:rPr>
          <w:rFonts w:ascii="Times New Roman" w:eastAsia="NimbusRomNo9L-Regu" w:hAnsi="Times New Roman" w:cs="Times New Roman"/>
          <w:sz w:val="24"/>
          <w:szCs w:val="24"/>
          <w:lang w:val="en-US"/>
        </w:rPr>
        <w:t>.</w:t>
      </w:r>
    </w:p>
    <w:p w14:paraId="5280D8FF" w14:textId="341188C7" w:rsidR="00B33D96" w:rsidRDefault="00B33D96" w:rsidP="00084E78">
      <w:pPr>
        <w:autoSpaceDE w:val="0"/>
        <w:autoSpaceDN w:val="0"/>
        <w:adjustRightInd w:val="0"/>
        <w:spacing w:after="0" w:line="240" w:lineRule="auto"/>
        <w:rPr>
          <w:rFonts w:ascii="Times New Roman" w:eastAsia="NimbusRomNo9L-Regu" w:hAnsi="Times New Roman" w:cs="Times New Roman"/>
          <w:sz w:val="24"/>
          <w:szCs w:val="24"/>
          <w:lang w:val="en-US"/>
        </w:rPr>
      </w:pPr>
    </w:p>
    <w:p w14:paraId="6DEFB452" w14:textId="28EBBEE1" w:rsidR="006F0057" w:rsidRPr="006F0057" w:rsidRDefault="00B33D96" w:rsidP="006F0057">
      <w:pPr>
        <w:autoSpaceDE w:val="0"/>
        <w:autoSpaceDN w:val="0"/>
        <w:adjustRightInd w:val="0"/>
        <w:spacing w:after="0" w:line="240" w:lineRule="auto"/>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 xml:space="preserve">Yong, 2021: </w:t>
      </w:r>
      <w:r w:rsidRPr="00B33D96">
        <w:rPr>
          <w:rFonts w:ascii="Times New Roman" w:eastAsia="NimbusRomNo9L-Regu" w:hAnsi="Times New Roman" w:cs="Times New Roman"/>
          <w:sz w:val="24"/>
          <w:szCs w:val="24"/>
          <w:lang w:val="en-US"/>
        </w:rPr>
        <w:t>It is widely known that SARS-CoV-2 is a neurotropic virus with</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the capacity to infect and replicate in neuronal cell cultures,</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brain organoids, and murine brains.21−2</w:t>
      </w:r>
      <w:r>
        <w:rPr>
          <w:rFonts w:ascii="Times New Roman" w:eastAsia="NimbusRomNo9L-Regu" w:hAnsi="Times New Roman" w:cs="Times New Roman"/>
          <w:sz w:val="24"/>
          <w:szCs w:val="24"/>
          <w:lang w:val="en-US"/>
        </w:rPr>
        <w:t xml:space="preserve">3. </w:t>
      </w:r>
      <w:r w:rsidRPr="00B33D96">
        <w:rPr>
          <w:rFonts w:ascii="Times New Roman" w:eastAsia="NimbusRomNo9L-Regu" w:hAnsi="Times New Roman" w:cs="Times New Roman"/>
          <w:sz w:val="24"/>
          <w:szCs w:val="24"/>
          <w:lang w:val="en-US"/>
        </w:rPr>
        <w:t>This is in line with the</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high rate of neuropsychiatric or neurological symptoms (e.g.,cognitive and mood impairments, headache, smell and taste</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alterations, fatigue, and myalgia) among cases of COVID-19 and</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other pathogenic human coronaviruses. 24−26 Even mild</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COVID-19 cases exhibit these neurological signs, indicating</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that brain involvement may occur in the early phase of COVID-19. 27</w:t>
      </w:r>
      <w:r>
        <w:rPr>
          <w:rFonts w:ascii="Times New Roman" w:eastAsia="NimbusRomNo9L-Regu" w:hAnsi="Times New Roman" w:cs="Times New Roman"/>
          <w:sz w:val="24"/>
          <w:szCs w:val="24"/>
          <w:lang w:val="en-US"/>
        </w:rPr>
        <w:t>.</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However, in other instances, brainstem neuropathology was</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observed despite the absence of SARS-CoV-2 RNA in brain</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autopsy of deceased COVID-19 patients. 38−40 This suggests</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that COVID-19 may induce brainstem damage through</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methods besides SARS-CoV-2 invasion, such as pathological</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immune or vascular activation.</w:t>
      </w:r>
      <w:r w:rsidR="00CB2408">
        <w:rPr>
          <w:rFonts w:ascii="Times New Roman" w:eastAsia="NimbusRomNo9L-Regu" w:hAnsi="Times New Roman" w:cs="Times New Roman"/>
          <w:sz w:val="24"/>
          <w:szCs w:val="24"/>
          <w:lang w:val="en-US"/>
        </w:rPr>
        <w:t xml:space="preserve"> </w:t>
      </w:r>
      <w:r w:rsidR="006F0057">
        <w:rPr>
          <w:rFonts w:ascii="Times New Roman" w:eastAsia="NimbusRomNo9L-Regu" w:hAnsi="Times New Roman" w:cs="Times New Roman"/>
          <w:sz w:val="24"/>
          <w:szCs w:val="24"/>
          <w:lang w:val="en-US"/>
        </w:rPr>
        <w:t>F</w:t>
      </w:r>
      <w:r w:rsidR="006F0057" w:rsidRPr="006F0057">
        <w:rPr>
          <w:rFonts w:ascii="Times New Roman" w:eastAsia="NimbusRomNo9L-Regu" w:hAnsi="Times New Roman" w:cs="Times New Roman"/>
          <w:sz w:val="24"/>
          <w:szCs w:val="24"/>
          <w:lang w:val="en-US"/>
        </w:rPr>
        <w:t>or example, leukocyte</w:t>
      </w:r>
      <w:r w:rsidR="00CB2408">
        <w:rPr>
          <w:rFonts w:ascii="Times New Roman" w:eastAsia="NimbusRomNo9L-Regu" w:hAnsi="Times New Roman" w:cs="Times New Roman"/>
          <w:sz w:val="24"/>
          <w:szCs w:val="24"/>
          <w:lang w:val="en-US"/>
        </w:rPr>
        <w:t xml:space="preserve"> </w:t>
      </w:r>
      <w:r w:rsidR="006F0057" w:rsidRPr="006F0057">
        <w:rPr>
          <w:rFonts w:ascii="Times New Roman" w:eastAsia="NimbusRomNo9L-Regu" w:hAnsi="Times New Roman" w:cs="Times New Roman"/>
          <w:sz w:val="24"/>
          <w:szCs w:val="24"/>
          <w:lang w:val="en-US"/>
        </w:rPr>
        <w:t>infiltration, activation of resident microglia and astrocytes, and</w:t>
      </w:r>
      <w:r w:rsidR="000C6ECC">
        <w:rPr>
          <w:rFonts w:ascii="Times New Roman" w:eastAsia="NimbusRomNo9L-Regu" w:hAnsi="Times New Roman" w:cs="Times New Roman"/>
          <w:sz w:val="24"/>
          <w:szCs w:val="24"/>
          <w:lang w:val="en-US"/>
        </w:rPr>
        <w:t xml:space="preserve"> </w:t>
      </w:r>
      <w:r w:rsidR="006F0057" w:rsidRPr="006F0057">
        <w:rPr>
          <w:rFonts w:ascii="Times New Roman" w:eastAsia="NimbusRomNo9L-Regu" w:hAnsi="Times New Roman" w:cs="Times New Roman"/>
          <w:sz w:val="24"/>
          <w:szCs w:val="24"/>
          <w:lang w:val="en-US"/>
        </w:rPr>
        <w:t>microthrombosis have been observed in brain autopsies of</w:t>
      </w:r>
      <w:r w:rsidR="000C6ECC">
        <w:rPr>
          <w:rFonts w:ascii="Times New Roman" w:eastAsia="NimbusRomNo9L-Regu" w:hAnsi="Times New Roman" w:cs="Times New Roman"/>
          <w:sz w:val="24"/>
          <w:szCs w:val="24"/>
          <w:lang w:val="en-US"/>
        </w:rPr>
        <w:t xml:space="preserve"> </w:t>
      </w:r>
      <w:r w:rsidR="006F0057" w:rsidRPr="006F0057">
        <w:rPr>
          <w:rFonts w:ascii="Times New Roman" w:eastAsia="NimbusRomNo9L-Regu" w:hAnsi="Times New Roman" w:cs="Times New Roman"/>
          <w:sz w:val="24"/>
          <w:szCs w:val="24"/>
          <w:lang w:val="en-US"/>
        </w:rPr>
        <w:t>COVID-19 victims, particularly at the brainstem. 37,39,41,42</w:t>
      </w:r>
    </w:p>
    <w:p w14:paraId="7A034EE7" w14:textId="22368999" w:rsidR="006F0057" w:rsidRDefault="006F0057" w:rsidP="006F0057">
      <w:pPr>
        <w:autoSpaceDE w:val="0"/>
        <w:autoSpaceDN w:val="0"/>
        <w:adjustRightInd w:val="0"/>
        <w:spacing w:after="0" w:line="240" w:lineRule="auto"/>
        <w:rPr>
          <w:rFonts w:ascii="Times New Roman" w:eastAsia="NimbusRomNo9L-Regu" w:hAnsi="Times New Roman" w:cs="Times New Roman"/>
          <w:sz w:val="24"/>
          <w:szCs w:val="24"/>
          <w:lang w:val="en-US"/>
        </w:rPr>
      </w:pPr>
      <w:r w:rsidRPr="006F0057">
        <w:rPr>
          <w:rFonts w:ascii="Times New Roman" w:eastAsia="NimbusRomNo9L-Regu" w:hAnsi="Times New Roman" w:cs="Times New Roman"/>
          <w:sz w:val="24"/>
          <w:szCs w:val="24"/>
          <w:lang w:val="en-US"/>
        </w:rPr>
        <w:t>Indeed, the brainstem is known to be highly vulnerable to</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acute and chronic damage from various sources, including</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inflammation, trauma, metabolic alterations, or vascular</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injury. 43 Taken together, SARS-CoV-2 may damage the</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brainstem through viral invasion,</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inflammation, and vascular</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activation44</w:t>
      </w:r>
      <w:r>
        <w:rPr>
          <w:rFonts w:ascii="Times New Roman" w:eastAsia="NimbusRomNo9L-Regu" w:hAnsi="Times New Roman" w:cs="Times New Roman"/>
          <w:sz w:val="24"/>
          <w:szCs w:val="24"/>
          <w:lang w:val="en-US"/>
        </w:rPr>
        <w:t>.</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Taken together, it can be hypothesized that</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brainstem</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dysfunction may be involved in the pathology of long-COVID</w:t>
      </w:r>
      <w:r>
        <w:rPr>
          <w:rFonts w:ascii="Times New Roman" w:eastAsia="NimbusRomNo9L-Regu" w:hAnsi="Times New Roman" w:cs="Times New Roman"/>
          <w:sz w:val="24"/>
          <w:szCs w:val="24"/>
          <w:lang w:val="en-US"/>
        </w:rPr>
        <w:t xml:space="preserve">. </w:t>
      </w:r>
    </w:p>
    <w:p w14:paraId="62735B78" w14:textId="1D84D131" w:rsidR="006F0057" w:rsidRPr="006F0057" w:rsidRDefault="006F0057" w:rsidP="006F0057">
      <w:pPr>
        <w:autoSpaceDE w:val="0"/>
        <w:autoSpaceDN w:val="0"/>
        <w:adjustRightInd w:val="0"/>
        <w:spacing w:after="0" w:line="240" w:lineRule="auto"/>
        <w:rPr>
          <w:rFonts w:ascii="Times New Roman" w:eastAsia="NimbusRomNo9L-Regu" w:hAnsi="Times New Roman" w:cs="Times New Roman"/>
          <w:sz w:val="24"/>
          <w:szCs w:val="24"/>
          <w:lang w:val="en-US"/>
        </w:rPr>
      </w:pPr>
      <w:r w:rsidRPr="006F0057">
        <w:rPr>
          <w:rFonts w:ascii="Times New Roman" w:eastAsia="NimbusRomNo9L-Regu" w:hAnsi="Times New Roman" w:cs="Times New Roman"/>
          <w:sz w:val="24"/>
          <w:szCs w:val="24"/>
          <w:lang w:val="en-US"/>
        </w:rPr>
        <w:t>Notably,</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long-COVID resembles and is closely associated with myalgic</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encephalomyelitis or chronic fatigue syndrome (ME/CFS),</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characterized by fatigue, myalgia, and cognitive and</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sleep</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impairments.115,116 Interestingly, brain imaging research has</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found that symptom severity of ME/CFS associates and</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correlates with brainstem dysfunction, particularly at the</w:t>
      </w:r>
    </w:p>
    <w:p w14:paraId="03651FAA" w14:textId="77777777" w:rsidR="000C6ECC" w:rsidRDefault="006F0057" w:rsidP="006F0057">
      <w:pPr>
        <w:autoSpaceDE w:val="0"/>
        <w:autoSpaceDN w:val="0"/>
        <w:adjustRightInd w:val="0"/>
        <w:spacing w:after="0" w:line="240" w:lineRule="auto"/>
        <w:rPr>
          <w:rFonts w:ascii="Times New Roman" w:eastAsia="NimbusRomNo9L-Regu" w:hAnsi="Times New Roman" w:cs="Times New Roman"/>
          <w:sz w:val="24"/>
          <w:szCs w:val="24"/>
          <w:lang w:val="en-US"/>
        </w:rPr>
      </w:pPr>
      <w:r w:rsidRPr="006F0057">
        <w:rPr>
          <w:rFonts w:ascii="Times New Roman" w:eastAsia="NimbusRomNo9L-Regu" w:hAnsi="Times New Roman" w:cs="Times New Roman"/>
          <w:sz w:val="24"/>
          <w:szCs w:val="24"/>
          <w:lang w:val="en-US"/>
        </w:rPr>
        <w:t>RAS.11</w:t>
      </w:r>
      <w:r>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7−12</w:t>
      </w:r>
      <w:r>
        <w:rPr>
          <w:rFonts w:ascii="Times New Roman" w:eastAsia="NimbusRomNo9L-Regu" w:hAnsi="Times New Roman" w:cs="Times New Roman"/>
          <w:sz w:val="24"/>
          <w:szCs w:val="24"/>
          <w:lang w:val="en-US"/>
        </w:rPr>
        <w:t>.</w:t>
      </w:r>
      <w:r w:rsidR="000C6ECC">
        <w:rPr>
          <w:rFonts w:ascii="Times New Roman" w:eastAsia="NimbusRomNo9L-Regu" w:hAnsi="Times New Roman" w:cs="Times New Roman"/>
          <w:sz w:val="24"/>
          <w:szCs w:val="24"/>
          <w:lang w:val="en-US"/>
        </w:rPr>
        <w:t xml:space="preserve"> </w:t>
      </w:r>
    </w:p>
    <w:p w14:paraId="6387E6A9" w14:textId="239EF760" w:rsidR="006F0057" w:rsidRPr="006F0057" w:rsidRDefault="006F0057" w:rsidP="006F0057">
      <w:pPr>
        <w:autoSpaceDE w:val="0"/>
        <w:autoSpaceDN w:val="0"/>
        <w:adjustRightInd w:val="0"/>
        <w:spacing w:after="0" w:line="240" w:lineRule="auto"/>
        <w:rPr>
          <w:rFonts w:ascii="Times New Roman" w:eastAsia="NimbusRomNo9L-Regu" w:hAnsi="Times New Roman" w:cs="Times New Roman"/>
          <w:sz w:val="24"/>
          <w:szCs w:val="24"/>
          <w:lang w:val="en-US"/>
        </w:rPr>
      </w:pPr>
      <w:r w:rsidRPr="006F0057">
        <w:rPr>
          <w:rFonts w:ascii="Times New Roman" w:eastAsia="NimbusRomNo9L-Regu" w:hAnsi="Times New Roman" w:cs="Times New Roman"/>
          <w:sz w:val="24"/>
          <w:szCs w:val="24"/>
          <w:lang w:val="en-US"/>
        </w:rPr>
        <w:t>This review emphasized that the brainstem may be an</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overlooked aspect of long-COVID. In acute COVID-19,</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brainstem damage has been widely documented in autopsy</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studies. A few autopsy reports have even found SARS-CoV-2</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genes and proteins in the brainstem, indicative of viral tropism</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and invasion. Indeed, the brainstem has a relatively high</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expression of ACE2 receptor, and possibly neuropilin-1, that</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SARS-CoV-2 exploits for cell infection. As</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neurological</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manifestations appear even in mild cases of COVID-19, the</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brainstem could be affected in the early disease phase. Since</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neurons rarely regenerate, the brainstem damage from COVID-19 may be long-lasting.</w:t>
      </w:r>
      <w:r>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Indeed, brainstem dysfunction has also been</w:t>
      </w:r>
    </w:p>
    <w:p w14:paraId="3FD0C3D4" w14:textId="6E8E17D5" w:rsidR="006F0057" w:rsidRPr="006F0057" w:rsidRDefault="006F0057" w:rsidP="006F0057">
      <w:pPr>
        <w:autoSpaceDE w:val="0"/>
        <w:autoSpaceDN w:val="0"/>
        <w:adjustRightInd w:val="0"/>
        <w:spacing w:after="0" w:line="240" w:lineRule="auto"/>
        <w:rPr>
          <w:rFonts w:ascii="Times New Roman" w:eastAsia="NimbusRomNo9L-Regu" w:hAnsi="Times New Roman" w:cs="Times New Roman"/>
          <w:sz w:val="24"/>
          <w:szCs w:val="24"/>
          <w:lang w:val="en-US"/>
        </w:rPr>
      </w:pPr>
      <w:r w:rsidRPr="006F0057">
        <w:rPr>
          <w:rFonts w:ascii="Times New Roman" w:eastAsia="NimbusRomNo9L-Regu" w:hAnsi="Times New Roman" w:cs="Times New Roman"/>
          <w:sz w:val="24"/>
          <w:szCs w:val="24"/>
          <w:lang w:val="en-US"/>
        </w:rPr>
        <w:lastRenderedPageBreak/>
        <w:t>implicated in other chronic disorders, such as chronic pain</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and migraine and ME/CFS. Therefore, it can be hypothesized</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that long-COVID may stem from persistent brainstem</w:t>
      </w:r>
    </w:p>
    <w:p w14:paraId="539009BB" w14:textId="6B27CA3E" w:rsidR="006F0057" w:rsidRDefault="006F0057" w:rsidP="006F0057">
      <w:pPr>
        <w:autoSpaceDE w:val="0"/>
        <w:autoSpaceDN w:val="0"/>
        <w:adjustRightInd w:val="0"/>
        <w:spacing w:after="0" w:line="240" w:lineRule="auto"/>
        <w:rPr>
          <w:rFonts w:ascii="Times New Roman" w:eastAsia="NimbusRomNo9L-Regu" w:hAnsi="Times New Roman" w:cs="Times New Roman"/>
          <w:sz w:val="24"/>
          <w:szCs w:val="24"/>
          <w:lang w:val="en-US"/>
        </w:rPr>
      </w:pPr>
      <w:r w:rsidRPr="006F0057">
        <w:rPr>
          <w:rFonts w:ascii="Times New Roman" w:eastAsia="NimbusRomNo9L-Regu" w:hAnsi="Times New Roman" w:cs="Times New Roman"/>
          <w:sz w:val="24"/>
          <w:szCs w:val="24"/>
          <w:lang w:val="en-US"/>
        </w:rPr>
        <w:t>dysfunction.</w:t>
      </w:r>
    </w:p>
    <w:p w14:paraId="70868DA1" w14:textId="74F442E9" w:rsidR="004A6697" w:rsidRDefault="004A6697" w:rsidP="006F0057">
      <w:pPr>
        <w:autoSpaceDE w:val="0"/>
        <w:autoSpaceDN w:val="0"/>
        <w:adjustRightInd w:val="0"/>
        <w:spacing w:after="0" w:line="240" w:lineRule="auto"/>
        <w:rPr>
          <w:rFonts w:ascii="Times New Roman" w:eastAsia="NimbusRomNo9L-Regu" w:hAnsi="Times New Roman" w:cs="Times New Roman"/>
          <w:sz w:val="24"/>
          <w:szCs w:val="24"/>
          <w:lang w:val="en-US"/>
        </w:rPr>
      </w:pPr>
    </w:p>
    <w:p w14:paraId="5F2EA331" w14:textId="08B084EB"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 xml:space="preserve">Versace et al., 2021: TMS study. </w:t>
      </w:r>
      <w:r w:rsidRPr="004A6697">
        <w:rPr>
          <w:rFonts w:ascii="Times New Roman" w:eastAsia="NimbusRomNo9L-Regu" w:hAnsi="Times New Roman" w:cs="Times New Roman"/>
          <w:sz w:val="24"/>
          <w:szCs w:val="24"/>
          <w:lang w:val="en-US"/>
        </w:rPr>
        <w:t>The present findings provide neurophysiological evidence of</w:t>
      </w:r>
    </w:p>
    <w:p w14:paraId="1B377920" w14:textId="77777777"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severe impairment of GABA-ergic intracortical circuits in patients</w:t>
      </w:r>
    </w:p>
    <w:p w14:paraId="3A2E90CD" w14:textId="77777777"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who recovered from COVID-19 with various central and peripheral</w:t>
      </w:r>
    </w:p>
    <w:p w14:paraId="2775C996" w14:textId="77777777"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neurological manifestations and who presented fatigue and</w:t>
      </w:r>
    </w:p>
    <w:p w14:paraId="783F60E0" w14:textId="77777777"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impairment of executive functions</w:t>
      </w:r>
      <w:r>
        <w:rPr>
          <w:rFonts w:ascii="Times New Roman" w:eastAsia="NimbusRomNo9L-Regu" w:hAnsi="Times New Roman" w:cs="Times New Roman"/>
          <w:sz w:val="24"/>
          <w:szCs w:val="24"/>
          <w:lang w:val="en-US"/>
        </w:rPr>
        <w:t xml:space="preserve">. </w:t>
      </w:r>
      <w:r w:rsidRPr="004A6697">
        <w:rPr>
          <w:rFonts w:ascii="Times New Roman" w:eastAsia="NimbusRomNo9L-Regu" w:hAnsi="Times New Roman" w:cs="Times New Roman"/>
          <w:sz w:val="24"/>
          <w:szCs w:val="24"/>
          <w:lang w:val="en-US"/>
        </w:rPr>
        <w:t>Compared to HS, post-COVID-19 patients exhibited reduced</w:t>
      </w:r>
    </w:p>
    <w:p w14:paraId="32746896" w14:textId="77777777"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inhibition within the M1 as evidenced by disruption of GABAA</w:t>
      </w:r>
    </w:p>
    <w:p w14:paraId="36DD1C08" w14:textId="77777777"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mediated SICI, at ISI 2 ms and 3 ms, and of GABAB mediated LICI,</w:t>
      </w:r>
    </w:p>
    <w:p w14:paraId="59B7D45D" w14:textId="5569DAB2" w:rsid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at ISI 50 ms and 100 ms</w:t>
      </w:r>
      <w:r>
        <w:rPr>
          <w:rFonts w:ascii="Times New Roman" w:eastAsia="NimbusRomNo9L-Regu" w:hAnsi="Times New Roman" w:cs="Times New Roman"/>
          <w:sz w:val="24"/>
          <w:szCs w:val="24"/>
          <w:lang w:val="en-US"/>
        </w:rPr>
        <w:t>.</w:t>
      </w:r>
    </w:p>
    <w:p w14:paraId="7229A15B" w14:textId="42201EEA" w:rsidR="003B39D5" w:rsidRDefault="003B39D5" w:rsidP="004A6697">
      <w:pPr>
        <w:autoSpaceDE w:val="0"/>
        <w:autoSpaceDN w:val="0"/>
        <w:adjustRightInd w:val="0"/>
        <w:spacing w:after="0" w:line="240" w:lineRule="auto"/>
        <w:rPr>
          <w:rFonts w:ascii="Times New Roman" w:eastAsia="NimbusRomNo9L-Regu" w:hAnsi="Times New Roman" w:cs="Times New Roman"/>
          <w:sz w:val="24"/>
          <w:szCs w:val="24"/>
          <w:lang w:val="en-US"/>
        </w:rPr>
      </w:pPr>
    </w:p>
    <w:p w14:paraId="654EBE6A" w14:textId="402C2D56" w:rsidR="003B39D5" w:rsidRPr="006D7CAF" w:rsidRDefault="003B39D5" w:rsidP="004A6697">
      <w:pPr>
        <w:autoSpaceDE w:val="0"/>
        <w:autoSpaceDN w:val="0"/>
        <w:adjustRightInd w:val="0"/>
        <w:spacing w:after="0" w:line="240" w:lineRule="auto"/>
        <w:rPr>
          <w:lang w:val="en-US"/>
        </w:rPr>
      </w:pPr>
      <w:r>
        <w:rPr>
          <w:rFonts w:ascii="NimbusRomNo9L-Regu" w:eastAsia="NimbusRomNo9L-Regu" w:cs="NimbusRomNo9L-Regu"/>
          <w:sz w:val="24"/>
          <w:szCs w:val="24"/>
          <w:lang w:val="en-US"/>
        </w:rPr>
        <w:t>Theoharides, Cholevas, Polyzoidis &amp; Politis, 2021</w:t>
      </w:r>
      <w:r w:rsidR="00EC4101">
        <w:rPr>
          <w:rFonts w:ascii="NimbusRomNo9L-Regu" w:eastAsia="NimbusRomNo9L-Regu" w:cs="NimbusRomNo9L-Regu"/>
          <w:sz w:val="24"/>
          <w:szCs w:val="24"/>
          <w:lang w:val="en-US"/>
        </w:rPr>
        <w:t xml:space="preserve">: </w:t>
      </w:r>
      <w:r w:rsidR="00EC4101" w:rsidRPr="006D7CAF">
        <w:rPr>
          <w:lang w:val="en-US"/>
        </w:rPr>
        <w:t>ng‐COVID syndrome symptoms, especially brain fog, are similar to those experienced by patients undertaking or following chemotherapy for cancer (chemofog or chemobrain), as well in patients with myalgic encephalomyelitis/chronic fatigue syndrome (ME/CFS) or mast cell activation syndrome (MCAS). The pathogenesis of brain fog in these illnesses is presently unknown but may involve neuroinflammation via mast cells stimulated by pathogenic and stress stimuli to release mediators that activate microglia and lead to inflammation in the hypothalamus.</w:t>
      </w:r>
    </w:p>
    <w:p w14:paraId="79D41554" w14:textId="58433698" w:rsidR="00EC4101" w:rsidRPr="006D7CAF" w:rsidRDefault="00EC4101" w:rsidP="004A6697">
      <w:pPr>
        <w:autoSpaceDE w:val="0"/>
        <w:autoSpaceDN w:val="0"/>
        <w:adjustRightInd w:val="0"/>
        <w:spacing w:after="0" w:line="240" w:lineRule="auto"/>
        <w:rPr>
          <w:lang w:val="en-US"/>
        </w:rPr>
      </w:pPr>
    </w:p>
    <w:p w14:paraId="25924175" w14:textId="56096288" w:rsidR="00EC4101" w:rsidRPr="006D7CAF" w:rsidRDefault="00EC4101" w:rsidP="004A6697">
      <w:pPr>
        <w:autoSpaceDE w:val="0"/>
        <w:autoSpaceDN w:val="0"/>
        <w:adjustRightInd w:val="0"/>
        <w:spacing w:after="0" w:line="240" w:lineRule="auto"/>
        <w:rPr>
          <w:lang w:val="en-US"/>
        </w:rPr>
      </w:pPr>
      <w:r w:rsidRPr="006D7CAF">
        <w:rPr>
          <w:lang w:val="en-US"/>
        </w:rPr>
        <w:t>Perez et al., 2024:</w:t>
      </w:r>
    </w:p>
    <w:p w14:paraId="7C70BBA1" w14:textId="58187835" w:rsidR="00EC4101" w:rsidRPr="006D7CAF" w:rsidRDefault="00EC4101" w:rsidP="004A6697">
      <w:pPr>
        <w:autoSpaceDE w:val="0"/>
        <w:autoSpaceDN w:val="0"/>
        <w:adjustRightInd w:val="0"/>
        <w:spacing w:after="0" w:line="240" w:lineRule="auto"/>
        <w:rPr>
          <w:lang w:val="en-US"/>
        </w:rPr>
      </w:pPr>
      <w:r w:rsidRPr="006D7CAF">
        <w:rPr>
          <w:lang w:val="en-US"/>
        </w:rPr>
        <w:t>However, findings for the alpha, delta, and beta bands were inconsistent, demonstrating variability across studies and highlighting the need for further research. Although the rsEEG of frequency bands emerges as a promising early biomarker, there is a noteworthy need to establish uniform standards and consistent measurement approaches in order to ensure the reliability and comparability of the results obtained in the research</w:t>
      </w:r>
    </w:p>
    <w:p w14:paraId="3DC867BD" w14:textId="4C40995F" w:rsidR="00AD784C" w:rsidRPr="006D7CAF" w:rsidRDefault="00AD784C" w:rsidP="004A6697">
      <w:pPr>
        <w:autoSpaceDE w:val="0"/>
        <w:autoSpaceDN w:val="0"/>
        <w:adjustRightInd w:val="0"/>
        <w:spacing w:after="0" w:line="240" w:lineRule="auto"/>
        <w:rPr>
          <w:lang w:val="en-US"/>
        </w:rPr>
      </w:pPr>
    </w:p>
    <w:p w14:paraId="6548B7F0" w14:textId="7023ED7A" w:rsidR="00AD784C" w:rsidRPr="006D7CAF" w:rsidRDefault="00AD784C" w:rsidP="00AD784C">
      <w:pPr>
        <w:autoSpaceDE w:val="0"/>
        <w:autoSpaceDN w:val="0"/>
        <w:adjustRightInd w:val="0"/>
        <w:spacing w:after="0" w:line="240" w:lineRule="auto"/>
        <w:rPr>
          <w:rStyle w:val="text"/>
          <w:lang w:val="en-US"/>
        </w:rPr>
      </w:pPr>
      <w:r w:rsidRPr="006D7CAF">
        <w:rPr>
          <w:lang w:val="en-US"/>
        </w:rPr>
        <w:t>Güntekin, Emek-</w:t>
      </w:r>
      <w:r w:rsidRPr="006D7CAF">
        <w:rPr>
          <w:rStyle w:val="text"/>
          <w:lang w:val="en-US"/>
        </w:rPr>
        <w:t>Savaş, Kurt, Yener &amp; Başar, 2013:</w:t>
      </w:r>
    </w:p>
    <w:p w14:paraId="2D5A4FB1" w14:textId="1134DB1F" w:rsidR="00AD784C" w:rsidRPr="006D7CAF" w:rsidRDefault="00AD784C" w:rsidP="00AD784C">
      <w:pPr>
        <w:autoSpaceDE w:val="0"/>
        <w:autoSpaceDN w:val="0"/>
        <w:adjustRightInd w:val="0"/>
        <w:spacing w:after="0" w:line="240" w:lineRule="auto"/>
        <w:rPr>
          <w:lang w:val="en-US"/>
        </w:rPr>
      </w:pPr>
      <w:r w:rsidRPr="006D7CAF">
        <w:rPr>
          <w:lang w:val="en-US"/>
        </w:rPr>
        <w:t xml:space="preserve">The role of beta oscillations upon cognitive stimulation is least studied in comparison to other frequency bands. The study included 17 consecutive patients with MCI. The experiments used a visual oddball paradigm. </w:t>
      </w:r>
      <w:r w:rsidR="006D36E5" w:rsidRPr="006D7CAF">
        <w:rPr>
          <w:lang w:val="en-US"/>
        </w:rPr>
        <w:t>In MCI patients, there were no differences in evoked beta power between target and non-target stimuli. Furthermore, upon presentation of visual oddball paradigm, occipital electrodes depict higher beta response in comparison to other electrode sites. The increased beta response upon presentation of target stimuli in healthy subjects implies that beta oscillations could shift the system to an attention state, and had important function in cognitive activity. This may, in future, open the way to consider beta activity as an important operator in brain cognitive processes.</w:t>
      </w:r>
    </w:p>
    <w:p w14:paraId="33C6F454" w14:textId="1F2AD450" w:rsidR="006D36E5" w:rsidRPr="006D7CAF" w:rsidRDefault="006D36E5" w:rsidP="00AD784C">
      <w:pPr>
        <w:autoSpaceDE w:val="0"/>
        <w:autoSpaceDN w:val="0"/>
        <w:adjustRightInd w:val="0"/>
        <w:spacing w:after="0" w:line="240" w:lineRule="auto"/>
        <w:rPr>
          <w:lang w:val="en-US"/>
        </w:rPr>
      </w:pPr>
      <w:r w:rsidRPr="006D7CAF">
        <w:rPr>
          <w:lang w:val="en-US"/>
        </w:rPr>
        <w:t xml:space="preserve">eta oscillatory responses are considered to be related to </w:t>
      </w:r>
      <w:hyperlink r:id="rId77" w:tooltip="Learn more about sensorimotor functions from ScienceDirect's AI-generated Topic Pages" w:history="1">
        <w:r w:rsidRPr="006D7CAF">
          <w:rPr>
            <w:rStyle w:val="Hyperlink"/>
            <w:lang w:val="en-US"/>
          </w:rPr>
          <w:t>sensorimotor functions</w:t>
        </w:r>
      </w:hyperlink>
      <w:r w:rsidRPr="006D7CAF">
        <w:rPr>
          <w:lang w:val="en-US"/>
        </w:rPr>
        <w:t xml:space="preserve"> (</w:t>
      </w:r>
      <w:bookmarkStart w:id="14" w:name="bbb0045"/>
      <w:r>
        <w:fldChar w:fldCharType="begin"/>
      </w:r>
      <w:r w:rsidRPr="006D7CAF">
        <w:rPr>
          <w:lang w:val="en-US"/>
        </w:rPr>
        <w:instrText xml:space="preserve"> HYPERLINK "https://www.sciencedirect.com/science/article/pii/S2213158213000909" \l "bb0045" </w:instrText>
      </w:r>
      <w:r>
        <w:fldChar w:fldCharType="separate"/>
      </w:r>
      <w:r w:rsidRPr="006D7CAF">
        <w:rPr>
          <w:rStyle w:val="anchor-text"/>
          <w:color w:val="0000FF"/>
          <w:u w:val="single"/>
          <w:lang w:val="en-US"/>
        </w:rPr>
        <w:t>Engel and Fries, 2010</w:t>
      </w:r>
      <w:r>
        <w:fldChar w:fldCharType="end"/>
      </w:r>
      <w:bookmarkEnd w:id="14"/>
      <w:r w:rsidRPr="006D7CAF">
        <w:rPr>
          <w:lang w:val="en-US"/>
        </w:rPr>
        <w:t>), and were decreased by voluntary movement (</w:t>
      </w:r>
      <w:bookmarkStart w:id="15" w:name="bbb0305"/>
      <w:r>
        <w:fldChar w:fldCharType="begin"/>
      </w:r>
      <w:r w:rsidRPr="006D7CAF">
        <w:rPr>
          <w:lang w:val="en-US"/>
        </w:rPr>
        <w:instrText xml:space="preserve"> HYPERLINK "https://www.sciencedirect.com/science/article/pii/S2213158213000909" \l "bb0305" </w:instrText>
      </w:r>
      <w:r>
        <w:fldChar w:fldCharType="separate"/>
      </w:r>
      <w:r w:rsidRPr="006D7CAF">
        <w:rPr>
          <w:rStyle w:val="anchor-text"/>
          <w:color w:val="0000FF"/>
          <w:u w:val="single"/>
          <w:lang w:val="en-US"/>
        </w:rPr>
        <w:t>Pfurtscheller and Berghold, 1989</w:t>
      </w:r>
      <w:r>
        <w:fldChar w:fldCharType="end"/>
      </w:r>
      <w:bookmarkEnd w:id="15"/>
      <w:r w:rsidRPr="006D7CAF">
        <w:rPr>
          <w:lang w:val="en-US"/>
        </w:rPr>
        <w:t xml:space="preserve">, </w:t>
      </w:r>
      <w:bookmarkStart w:id="16" w:name="bbb0055"/>
      <w:r>
        <w:fldChar w:fldCharType="begin"/>
      </w:r>
      <w:r w:rsidRPr="006D7CAF">
        <w:rPr>
          <w:lang w:val="en-US"/>
        </w:rPr>
        <w:instrText xml:space="preserve"> HYPERLINK "https://www.sciencedirect.com/science/article/pii/S2213158213000909" \l "bb0055" </w:instrText>
      </w:r>
      <w:r>
        <w:fldChar w:fldCharType="separate"/>
      </w:r>
      <w:r w:rsidRPr="006D7CAF">
        <w:rPr>
          <w:rStyle w:val="anchor-text"/>
          <w:color w:val="0000FF"/>
          <w:u w:val="single"/>
          <w:lang w:val="en-US"/>
        </w:rPr>
        <w:t>Pfurtscheller et al., 1996</w:t>
      </w:r>
      <w:r>
        <w:fldChar w:fldCharType="end"/>
      </w:r>
      <w:bookmarkEnd w:id="16"/>
      <w:r w:rsidRPr="006D7CAF">
        <w:rPr>
          <w:lang w:val="en-US"/>
        </w:rPr>
        <w:t>) and also by motor imagery (</w:t>
      </w:r>
      <w:bookmarkStart w:id="17" w:name="bbb0310"/>
      <w:r>
        <w:fldChar w:fldCharType="begin"/>
      </w:r>
      <w:r w:rsidRPr="006D7CAF">
        <w:rPr>
          <w:lang w:val="en-US"/>
        </w:rPr>
        <w:instrText xml:space="preserve"> HYPERLINK "https://www.sciencedirect.com/science/article/pii/S2213158213000909" \l "bb0310" </w:instrText>
      </w:r>
      <w:r>
        <w:fldChar w:fldCharType="separate"/>
      </w:r>
      <w:r w:rsidRPr="006D7CAF">
        <w:rPr>
          <w:rStyle w:val="anchor-text"/>
          <w:color w:val="0000FF"/>
          <w:u w:val="single"/>
          <w:lang w:val="en-US"/>
        </w:rPr>
        <w:t>Neuper et al., 2009</w:t>
      </w:r>
      <w:r>
        <w:fldChar w:fldCharType="end"/>
      </w:r>
      <w:bookmarkEnd w:id="17"/>
      <w:r w:rsidRPr="006D7CAF">
        <w:rPr>
          <w:lang w:val="en-US"/>
        </w:rPr>
        <w:t xml:space="preserve">). </w:t>
      </w:r>
      <w:bookmarkStart w:id="18" w:name="bbb0315"/>
      <w:r>
        <w:fldChar w:fldCharType="begin"/>
      </w:r>
      <w:r w:rsidRPr="006D7CAF">
        <w:rPr>
          <w:lang w:val="en-US"/>
        </w:rPr>
        <w:instrText xml:space="preserve"> HYPERLINK "https://www.sciencedirect.com/science/article/pii/S2213158213000909" \l "bb0315" </w:instrText>
      </w:r>
      <w:r>
        <w:fldChar w:fldCharType="separate"/>
      </w:r>
      <w:r w:rsidRPr="006D7CAF">
        <w:rPr>
          <w:rStyle w:val="anchor-text"/>
          <w:color w:val="0000FF"/>
          <w:u w:val="single"/>
          <w:lang w:val="en-US"/>
        </w:rPr>
        <w:t>Traub et al. (1999)</w:t>
      </w:r>
      <w:r>
        <w:fldChar w:fldCharType="end"/>
      </w:r>
      <w:r w:rsidRPr="006D7CAF">
        <w:rPr>
          <w:lang w:val="en-US"/>
        </w:rPr>
        <w:t xml:space="preserve"> showed that when the stimulation was intense the action potential burst depicts a transition from gamma frequency to beta frequency. </w:t>
      </w:r>
      <w:hyperlink r:id="rId78" w:anchor="bb0315" w:history="1">
        <w:r w:rsidRPr="006D7CAF">
          <w:rPr>
            <w:rStyle w:val="anchor-text"/>
            <w:color w:val="0000FF"/>
            <w:u w:val="single"/>
            <w:lang w:val="en-US"/>
          </w:rPr>
          <w:t>Traub et al. (1999)</w:t>
        </w:r>
      </w:hyperlink>
      <w:bookmarkEnd w:id="18"/>
      <w:r w:rsidRPr="006D7CAF">
        <w:rPr>
          <w:lang w:val="en-US"/>
        </w:rPr>
        <w:t xml:space="preserve">, </w:t>
      </w:r>
      <w:bookmarkStart w:id="19" w:name="bbb0320"/>
      <w:r>
        <w:fldChar w:fldCharType="begin"/>
      </w:r>
      <w:r w:rsidRPr="006D7CAF">
        <w:rPr>
          <w:lang w:val="en-US"/>
        </w:rPr>
        <w:instrText xml:space="preserve"> HYPERLINK "https://www.sciencedirect.com/science/article/pii/S2213158213000909" \l "bb0320" </w:instrText>
      </w:r>
      <w:r>
        <w:fldChar w:fldCharType="separate"/>
      </w:r>
      <w:r w:rsidRPr="006D7CAF">
        <w:rPr>
          <w:rStyle w:val="anchor-text"/>
          <w:color w:val="0000FF"/>
          <w:u w:val="single"/>
          <w:lang w:val="en-US"/>
        </w:rPr>
        <w:t>Haenschel et al. (2000)</w:t>
      </w:r>
      <w:r>
        <w:fldChar w:fldCharType="end"/>
      </w:r>
      <w:bookmarkEnd w:id="19"/>
      <w:r w:rsidRPr="006D7CAF">
        <w:rPr>
          <w:lang w:val="en-US"/>
        </w:rPr>
        <w:t xml:space="preserve">, </w:t>
      </w:r>
      <w:bookmarkStart w:id="20" w:name="bbb0325"/>
      <w:r>
        <w:fldChar w:fldCharType="begin"/>
      </w:r>
      <w:r w:rsidRPr="006D7CAF">
        <w:rPr>
          <w:lang w:val="en-US"/>
        </w:rPr>
        <w:instrText xml:space="preserve"> HYPERLINK "https://www.sciencedirect.com/science/article/pii/S2213158213000909" \l "bb0325" </w:instrText>
      </w:r>
      <w:r>
        <w:fldChar w:fldCharType="separate"/>
      </w:r>
      <w:r w:rsidRPr="006D7CAF">
        <w:rPr>
          <w:rStyle w:val="anchor-text"/>
          <w:color w:val="0000FF"/>
          <w:u w:val="single"/>
          <w:lang w:val="en-US"/>
        </w:rPr>
        <w:t>Kisley and Cornwell (2006)</w:t>
      </w:r>
      <w:r>
        <w:fldChar w:fldCharType="end"/>
      </w:r>
      <w:bookmarkEnd w:id="20"/>
      <w:r w:rsidRPr="006D7CAF">
        <w:rPr>
          <w:lang w:val="en-US"/>
        </w:rPr>
        <w:t xml:space="preserve"> concluded that beta band activity is closely related to stimulus-driven salience. </w:t>
      </w:r>
      <w:bookmarkStart w:id="21" w:name="bbb0330"/>
      <w:r>
        <w:fldChar w:fldCharType="begin"/>
      </w:r>
      <w:r w:rsidRPr="006D7CAF">
        <w:rPr>
          <w:lang w:val="en-US"/>
        </w:rPr>
        <w:instrText xml:space="preserve"> HYPERLINK "https://www.sciencedirect.com/science/article/pii/S2213158213000909" \l "bb0330" </w:instrText>
      </w:r>
      <w:r>
        <w:fldChar w:fldCharType="separate"/>
      </w:r>
      <w:r w:rsidRPr="006D7CAF">
        <w:rPr>
          <w:rStyle w:val="anchor-text"/>
          <w:color w:val="0000FF"/>
          <w:u w:val="single"/>
          <w:lang w:val="en-US"/>
        </w:rPr>
        <w:t>Leventhal et al. (2012)</w:t>
      </w:r>
      <w:r>
        <w:fldChar w:fldCharType="end"/>
      </w:r>
      <w:bookmarkEnd w:id="21"/>
      <w:r w:rsidRPr="006D7CAF">
        <w:rPr>
          <w:lang w:val="en-US"/>
        </w:rPr>
        <w:t xml:space="preserve"> suggested that beta oscillations reflect a post-decision stabilized state of cortical–basal ganglia networks, which normally reduces interference from alternative potential actions.</w:t>
      </w:r>
    </w:p>
    <w:p w14:paraId="491FCBEA" w14:textId="63DEBB74" w:rsidR="006D36E5" w:rsidRPr="006D7CAF" w:rsidRDefault="006D36E5" w:rsidP="00AD784C">
      <w:pPr>
        <w:autoSpaceDE w:val="0"/>
        <w:autoSpaceDN w:val="0"/>
        <w:adjustRightInd w:val="0"/>
        <w:spacing w:after="0" w:line="240" w:lineRule="auto"/>
        <w:rPr>
          <w:lang w:val="en-US"/>
        </w:rPr>
      </w:pPr>
    </w:p>
    <w:p w14:paraId="72CA3D1C" w14:textId="33ABEC2A" w:rsidR="006D36E5" w:rsidRPr="006D7CAF" w:rsidRDefault="006D36E5" w:rsidP="00AD784C">
      <w:pPr>
        <w:autoSpaceDE w:val="0"/>
        <w:autoSpaceDN w:val="0"/>
        <w:adjustRightInd w:val="0"/>
        <w:spacing w:after="0" w:line="240" w:lineRule="auto"/>
        <w:rPr>
          <w:lang w:val="en-US"/>
        </w:rPr>
      </w:pPr>
      <w:r w:rsidRPr="006D7CAF">
        <w:rPr>
          <w:lang w:val="en-US"/>
        </w:rPr>
        <w:t>Harmony, 2013:</w:t>
      </w:r>
    </w:p>
    <w:p w14:paraId="658FE477" w14:textId="1ED577F2" w:rsidR="006D36E5" w:rsidRPr="006D7CAF" w:rsidRDefault="006D36E5" w:rsidP="00AD784C">
      <w:pPr>
        <w:autoSpaceDE w:val="0"/>
        <w:autoSpaceDN w:val="0"/>
        <w:adjustRightInd w:val="0"/>
        <w:spacing w:after="0" w:line="240" w:lineRule="auto"/>
        <w:rPr>
          <w:lang w:val="en-US"/>
        </w:rPr>
      </w:pPr>
    </w:p>
    <w:p w14:paraId="7E6731A3" w14:textId="5C352623" w:rsidR="00DD2041" w:rsidRPr="006D7CAF" w:rsidRDefault="00DD2041" w:rsidP="00AD784C">
      <w:pPr>
        <w:autoSpaceDE w:val="0"/>
        <w:autoSpaceDN w:val="0"/>
        <w:adjustRightInd w:val="0"/>
        <w:spacing w:after="0" w:line="240" w:lineRule="auto"/>
        <w:rPr>
          <w:lang w:val="en-US"/>
        </w:rPr>
      </w:pPr>
      <w:r w:rsidRPr="006D7CAF">
        <w:rPr>
          <w:lang w:val="en-US"/>
        </w:rPr>
        <w:t>Illiadou, et al., 2021: During resting state condition, the MCI group showed increased alpha, beta, delta, and theta band power compared to the SCD group</w:t>
      </w:r>
      <w:r w:rsidR="000C6ECC">
        <w:rPr>
          <w:lang w:val="en-US"/>
        </w:rPr>
        <w:t>.</w:t>
      </w:r>
    </w:p>
    <w:p w14:paraId="3A1C6431" w14:textId="6E3C8B08" w:rsidR="00DD2041" w:rsidRPr="006D7CAF" w:rsidRDefault="00DD2041" w:rsidP="00AD784C">
      <w:pPr>
        <w:autoSpaceDE w:val="0"/>
        <w:autoSpaceDN w:val="0"/>
        <w:adjustRightInd w:val="0"/>
        <w:spacing w:after="0" w:line="240" w:lineRule="auto"/>
        <w:rPr>
          <w:lang w:val="en-US"/>
        </w:rPr>
      </w:pPr>
    </w:p>
    <w:p w14:paraId="50E2E512" w14:textId="3BF21417" w:rsidR="00DD2041" w:rsidRPr="00DD2041" w:rsidRDefault="00DD2041" w:rsidP="00DD2041">
      <w:pPr>
        <w:autoSpaceDE w:val="0"/>
        <w:autoSpaceDN w:val="0"/>
        <w:adjustRightInd w:val="0"/>
        <w:spacing w:after="0" w:line="240" w:lineRule="auto"/>
        <w:rPr>
          <w:rFonts w:ascii="Times New Roman" w:eastAsia="NimbusRomNo9L-Regu" w:hAnsi="Times New Roman" w:cs="Times New Roman"/>
          <w:sz w:val="24"/>
          <w:szCs w:val="24"/>
          <w:lang w:val="en-US"/>
        </w:rPr>
      </w:pPr>
      <w:r w:rsidRPr="00DD2041">
        <w:rPr>
          <w:rFonts w:ascii="Times New Roman" w:eastAsia="NimbusRomNo9L-Regu" w:hAnsi="Times New Roman" w:cs="Times New Roman"/>
          <w:sz w:val="24"/>
          <w:szCs w:val="24"/>
          <w:lang w:val="en-US"/>
        </w:rPr>
        <w:lastRenderedPageBreak/>
        <w:t>Theta and delta band powers tended to increase</w:t>
      </w:r>
      <w:r w:rsidR="000C6ECC">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in selected scalp regions as cognitive</w:t>
      </w:r>
      <w:r w:rsidR="000C6ECC">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impairment progressed,</w:t>
      </w:r>
      <w:r w:rsidR="000C6ECC">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whereas alpha and beta 2 band powers showed a decreasing tendency.</w:t>
      </w:r>
      <w:r>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Differences in spectral power among subjects were most prominent for the theta band, followed by the beta 2 and alpha bands.</w:t>
      </w:r>
    </w:p>
    <w:p w14:paraId="23AEACF1" w14:textId="0DA847AC" w:rsidR="00DD2041" w:rsidRDefault="00DD2041" w:rsidP="00DD2041">
      <w:pPr>
        <w:autoSpaceDE w:val="0"/>
        <w:autoSpaceDN w:val="0"/>
        <w:adjustRightInd w:val="0"/>
        <w:spacing w:after="0" w:line="240" w:lineRule="auto"/>
        <w:rPr>
          <w:rFonts w:ascii="Times New Roman" w:eastAsia="NimbusRomNo9L-Regu" w:hAnsi="Times New Roman" w:cs="Times New Roman"/>
          <w:sz w:val="24"/>
          <w:szCs w:val="24"/>
          <w:lang w:val="en-US"/>
        </w:rPr>
      </w:pPr>
      <w:r w:rsidRPr="00DD2041">
        <w:rPr>
          <w:rFonts w:ascii="Times New Roman" w:eastAsia="NimbusRomNo9L-Regu" w:hAnsi="Times New Roman" w:cs="Times New Roman"/>
          <w:sz w:val="24"/>
          <w:szCs w:val="24"/>
          <w:lang w:val="en-US"/>
        </w:rPr>
        <w:t>Spectral power differences in the delta band were less prominent</w:t>
      </w:r>
      <w:r>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Theta, alpha, and beta 2 powers were found to be significantly</w:t>
      </w:r>
      <w:r w:rsidR="000C6ECC">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correlated with memory function</w:t>
      </w:r>
    </w:p>
    <w:p w14:paraId="30E049DC" w14:textId="01BC98D0" w:rsidR="00DD2041" w:rsidRDefault="00DD2041" w:rsidP="00DD2041">
      <w:pPr>
        <w:autoSpaceDE w:val="0"/>
        <w:autoSpaceDN w:val="0"/>
        <w:adjustRightInd w:val="0"/>
        <w:spacing w:after="0" w:line="240" w:lineRule="auto"/>
        <w:rPr>
          <w:rFonts w:ascii="Times New Roman" w:eastAsia="NimbusRomNo9L-Regu" w:hAnsi="Times New Roman" w:cs="Times New Roman"/>
          <w:sz w:val="24"/>
          <w:szCs w:val="24"/>
          <w:lang w:val="en-US"/>
        </w:rPr>
      </w:pPr>
      <w:r w:rsidRPr="00DD2041">
        <w:rPr>
          <w:rFonts w:ascii="Times New Roman" w:eastAsia="NimbusRomNo9L-Regu" w:hAnsi="Times New Roman" w:cs="Times New Roman"/>
          <w:sz w:val="24"/>
          <w:szCs w:val="24"/>
          <w:lang w:val="en-US"/>
        </w:rPr>
        <w:t>The lack of correlation between delta frequency and neuropsychological test results</w:t>
      </w:r>
      <w:r w:rsidR="000C6ECC">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may be due to the mild disease status of the AD patients recruite</w:t>
      </w:r>
      <w:r w:rsidR="000C6ECC">
        <w:rPr>
          <w:rFonts w:ascii="Times New Roman" w:eastAsia="NimbusRomNo9L-Regu" w:hAnsi="Times New Roman" w:cs="Times New Roman"/>
          <w:sz w:val="24"/>
          <w:szCs w:val="24"/>
          <w:lang w:val="en-US"/>
        </w:rPr>
        <w:t xml:space="preserve">d </w:t>
      </w:r>
      <w:r w:rsidRPr="00DD2041">
        <w:rPr>
          <w:rFonts w:ascii="Times New Roman" w:eastAsia="NimbusRomNo9L-Regu" w:hAnsi="Times New Roman" w:cs="Times New Roman"/>
          <w:sz w:val="24"/>
          <w:szCs w:val="24"/>
          <w:lang w:val="en-US"/>
        </w:rPr>
        <w:t>in this study.</w:t>
      </w:r>
      <w:r>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 xml:space="preserve">Previous </w:t>
      </w:r>
      <w:commentRangeStart w:id="22"/>
      <w:r w:rsidRPr="00DD2041">
        <w:rPr>
          <w:rFonts w:ascii="Times New Roman" w:eastAsia="NimbusRomNo9L-Regu" w:hAnsi="Times New Roman" w:cs="Times New Roman"/>
          <w:sz w:val="24"/>
          <w:szCs w:val="24"/>
          <w:lang w:val="en-US"/>
        </w:rPr>
        <w:t xml:space="preserve">QEEG studies that used cognitive tasks revealed an increase in alpha and beta bands with memory performance, including registration, recall, and recognition (; Palva </w:t>
      </w:r>
      <w:commentRangeEnd w:id="22"/>
      <w:r w:rsidR="00DC4EF2">
        <w:rPr>
          <w:rStyle w:val="CommentReference"/>
          <w:rFonts w:ascii="Calibri" w:eastAsia="Calibri" w:hAnsi="Calibri" w:cs="Times New Roman"/>
          <w:kern w:val="3"/>
        </w:rPr>
        <w:commentReference w:id="22"/>
      </w:r>
      <w:r w:rsidRPr="00DD2041">
        <w:rPr>
          <w:rFonts w:ascii="Times New Roman" w:eastAsia="NimbusRomNo9L-Regu" w:hAnsi="Times New Roman" w:cs="Times New Roman"/>
          <w:sz w:val="24"/>
          <w:szCs w:val="24"/>
          <w:lang w:val="en-US"/>
        </w:rPr>
        <w:t>and Palva, 2007).</w:t>
      </w:r>
      <w:r>
        <w:rPr>
          <w:rFonts w:ascii="Times New Roman" w:eastAsia="NimbusRomNo9L-Regu" w:hAnsi="Times New Roman" w:cs="Times New Roman"/>
          <w:sz w:val="24"/>
          <w:szCs w:val="24"/>
          <w:lang w:val="en-US"/>
        </w:rPr>
        <w:t xml:space="preserve"> </w:t>
      </w:r>
    </w:p>
    <w:p w14:paraId="08875EAA" w14:textId="4C4749B8" w:rsidR="00DD2041" w:rsidRDefault="00DD2041" w:rsidP="00DD2041">
      <w:pPr>
        <w:autoSpaceDE w:val="0"/>
        <w:autoSpaceDN w:val="0"/>
        <w:adjustRightInd w:val="0"/>
        <w:spacing w:after="0" w:line="240" w:lineRule="auto"/>
        <w:rPr>
          <w:rFonts w:ascii="Times New Roman" w:eastAsia="NimbusRomNo9L-Regu" w:hAnsi="Times New Roman" w:cs="Times New Roman"/>
          <w:sz w:val="24"/>
          <w:szCs w:val="24"/>
          <w:lang w:val="en-US"/>
        </w:rPr>
      </w:pPr>
    </w:p>
    <w:p w14:paraId="65E3E6E4" w14:textId="7FAD0099" w:rsidR="00DD2041" w:rsidRPr="006D7CAF" w:rsidRDefault="00DD2041" w:rsidP="00DD2041">
      <w:pPr>
        <w:autoSpaceDE w:val="0"/>
        <w:autoSpaceDN w:val="0"/>
        <w:adjustRightInd w:val="0"/>
        <w:spacing w:after="0" w:line="240" w:lineRule="auto"/>
        <w:rPr>
          <w:lang w:val="en-US"/>
        </w:rPr>
      </w:pPr>
      <w:r>
        <w:rPr>
          <w:rFonts w:ascii="Times New Roman" w:eastAsia="NimbusRomNo9L-Regu" w:hAnsi="Times New Roman" w:cs="Times New Roman"/>
          <w:sz w:val="24"/>
          <w:szCs w:val="24"/>
          <w:lang w:val="en-US"/>
        </w:rPr>
        <w:t xml:space="preserve">Palva &amp; Palva, 2007: </w:t>
      </w:r>
      <w:r w:rsidR="00DC4EF2" w:rsidRPr="006D7CAF">
        <w:rPr>
          <w:lang w:val="en-US"/>
        </w:rPr>
        <w:t xml:space="preserve">We propose that simultaneous </w:t>
      </w:r>
      <w:r w:rsidR="00DC4EF2">
        <w:t>α</w:t>
      </w:r>
      <w:r w:rsidR="00DC4EF2" w:rsidRPr="006D7CAF">
        <w:rPr>
          <w:lang w:val="en-US"/>
        </w:rPr>
        <w:t xml:space="preserve">-, </w:t>
      </w:r>
      <w:r w:rsidR="00DC4EF2">
        <w:t>β</w:t>
      </w:r>
      <w:r w:rsidR="00DC4EF2" w:rsidRPr="006D7CAF">
        <w:rPr>
          <w:lang w:val="en-US"/>
        </w:rPr>
        <w:t xml:space="preserve">- (14–30Hz) and </w:t>
      </w:r>
      <w:r w:rsidR="00DC4EF2">
        <w:t>γ</w:t>
      </w:r>
      <w:r w:rsidR="00DC4EF2" w:rsidRPr="006D7CAF">
        <w:rPr>
          <w:lang w:val="en-US"/>
        </w:rPr>
        <w:t xml:space="preserve">- (30–70Hz) frequency band oscillations are required for unified cognitive operations, and hypothesize that cross-frequency phase synchrony between </w:t>
      </w:r>
      <w:r w:rsidR="00DC4EF2">
        <w:t>α</w:t>
      </w:r>
      <w:r w:rsidR="00DC4EF2" w:rsidRPr="006D7CAF">
        <w:rPr>
          <w:lang w:val="en-US"/>
        </w:rPr>
        <w:t xml:space="preserve">, </w:t>
      </w:r>
      <w:r w:rsidR="00DC4EF2">
        <w:t>β</w:t>
      </w:r>
      <w:r w:rsidR="00DC4EF2" w:rsidRPr="006D7CAF">
        <w:rPr>
          <w:lang w:val="en-US"/>
        </w:rPr>
        <w:t xml:space="preserve"> and </w:t>
      </w:r>
      <w:r w:rsidR="00DC4EF2">
        <w:t>γ</w:t>
      </w:r>
      <w:r w:rsidR="00DC4EF2" w:rsidRPr="006D7CAF">
        <w:rPr>
          <w:lang w:val="en-US"/>
        </w:rPr>
        <w:t xml:space="preserve"> oscillations coordinates the selection and maintenance of neuronal object representations during working memory, perception and consciousness.</w:t>
      </w:r>
    </w:p>
    <w:p w14:paraId="2AFCEDF0" w14:textId="4440C982" w:rsidR="00DC4EF2" w:rsidRPr="006D7CAF" w:rsidRDefault="00DC4EF2" w:rsidP="00DD2041">
      <w:pPr>
        <w:autoSpaceDE w:val="0"/>
        <w:autoSpaceDN w:val="0"/>
        <w:adjustRightInd w:val="0"/>
        <w:spacing w:after="0" w:line="240" w:lineRule="auto"/>
        <w:rPr>
          <w:lang w:val="en-US"/>
        </w:rPr>
      </w:pPr>
    </w:p>
    <w:p w14:paraId="047F5859" w14:textId="3FBCA080" w:rsidR="00DC4EF2" w:rsidRPr="006D7CAF" w:rsidRDefault="00DC4EF2" w:rsidP="00DD2041">
      <w:pPr>
        <w:autoSpaceDE w:val="0"/>
        <w:autoSpaceDN w:val="0"/>
        <w:adjustRightInd w:val="0"/>
        <w:spacing w:after="0" w:line="240" w:lineRule="auto"/>
        <w:rPr>
          <w:lang w:val="en-US"/>
        </w:rPr>
      </w:pPr>
      <w:r w:rsidRPr="006D7CAF">
        <w:rPr>
          <w:lang w:val="en-US"/>
        </w:rPr>
        <w:t>Corsi-Cebrera et al., 1992: Study in sleep deprivation. Beta higher after sleep deprovation than after normal sleep</w:t>
      </w:r>
      <w:r w:rsidR="00B25221" w:rsidRPr="006D7CAF">
        <w:rPr>
          <w:lang w:val="en-US"/>
        </w:rPr>
        <w:t xml:space="preserve"> rel and abs power</w:t>
      </w:r>
    </w:p>
    <w:p w14:paraId="426623B2" w14:textId="63742B4B" w:rsidR="003234F4" w:rsidRPr="006D7CAF" w:rsidRDefault="003234F4" w:rsidP="00DD2041">
      <w:pPr>
        <w:autoSpaceDE w:val="0"/>
        <w:autoSpaceDN w:val="0"/>
        <w:adjustRightInd w:val="0"/>
        <w:spacing w:after="0" w:line="240" w:lineRule="auto"/>
        <w:rPr>
          <w:lang w:val="en-US"/>
        </w:rPr>
      </w:pPr>
    </w:p>
    <w:p w14:paraId="7AADCEF5" w14:textId="4739E5D5" w:rsidR="003234F4" w:rsidRPr="006D7CAF" w:rsidRDefault="003234F4" w:rsidP="00DD2041">
      <w:pPr>
        <w:autoSpaceDE w:val="0"/>
        <w:autoSpaceDN w:val="0"/>
        <w:adjustRightInd w:val="0"/>
        <w:spacing w:after="0" w:line="240" w:lineRule="auto"/>
        <w:rPr>
          <w:lang w:val="en-US"/>
        </w:rPr>
      </w:pPr>
      <w:r w:rsidRPr="006D7CAF">
        <w:rPr>
          <w:lang w:val="en-US"/>
        </w:rPr>
        <w:t xml:space="preserve">D’Rozario et al., 2020: Findings show that compared to healthy controls, those with MCI have pronounced changes in sleep macro-architecture with greater wake after sleep onset, reduced total </w:t>
      </w:r>
      <w:hyperlink r:id="rId79" w:tooltip="Learn more about sleep time from ScienceDirect's AI-generated Topic Pages" w:history="1">
        <w:r w:rsidRPr="006D7CAF">
          <w:rPr>
            <w:rStyle w:val="Hyperlink"/>
            <w:lang w:val="en-US"/>
          </w:rPr>
          <w:t>sleep time</w:t>
        </w:r>
      </w:hyperlink>
      <w:r w:rsidRPr="006D7CAF">
        <w:rPr>
          <w:lang w:val="en-US"/>
        </w:rPr>
        <w:t xml:space="preserve">, lower sleep efficiency, longer </w:t>
      </w:r>
      <w:hyperlink r:id="rId80" w:tooltip="Learn more about sleep onset latency from ScienceDirect's AI-generated Topic Pages" w:history="1">
        <w:r w:rsidRPr="006D7CAF">
          <w:rPr>
            <w:rStyle w:val="Hyperlink"/>
            <w:lang w:val="en-US"/>
          </w:rPr>
          <w:t>sleep onset latency</w:t>
        </w:r>
      </w:hyperlink>
      <w:r w:rsidRPr="006D7CAF">
        <w:rPr>
          <w:lang w:val="en-US"/>
        </w:rPr>
        <w:t xml:space="preserve">, longer </w:t>
      </w:r>
      <w:hyperlink r:id="rId81" w:tooltip="Learn more about rapid eye movement sleep from ScienceDirect's AI-generated Topic Pages" w:history="1">
        <w:r w:rsidRPr="006D7CAF">
          <w:rPr>
            <w:rStyle w:val="Hyperlink"/>
            <w:lang w:val="en-US"/>
          </w:rPr>
          <w:t>rapid eye movement sleep</w:t>
        </w:r>
      </w:hyperlink>
      <w:r w:rsidRPr="006D7CAF">
        <w:rPr>
          <w:lang w:val="en-US"/>
        </w:rPr>
        <w:t xml:space="preserve"> (REM) latency, reduced REM sleep, greater N1 sleep, and worse severity of </w:t>
      </w:r>
      <w:hyperlink r:id="rId82" w:tooltip="Learn more about hypoxemia from ScienceDirect's AI-generated Topic Pages" w:history="1">
        <w:r w:rsidRPr="006D7CAF">
          <w:rPr>
            <w:rStyle w:val="Hyperlink"/>
            <w:lang w:val="en-US"/>
          </w:rPr>
          <w:t>hypoxemia</w:t>
        </w:r>
      </w:hyperlink>
    </w:p>
    <w:p w14:paraId="1332E80F" w14:textId="22FD4C76" w:rsidR="003234F4" w:rsidRPr="006D7CAF" w:rsidRDefault="003234F4" w:rsidP="00DD2041">
      <w:pPr>
        <w:autoSpaceDE w:val="0"/>
        <w:autoSpaceDN w:val="0"/>
        <w:adjustRightInd w:val="0"/>
        <w:spacing w:after="0" w:line="240" w:lineRule="auto"/>
        <w:rPr>
          <w:lang w:val="en-US"/>
        </w:rPr>
      </w:pPr>
    </w:p>
    <w:p w14:paraId="6A6B0981" w14:textId="7B8DF4B4" w:rsidR="003234F4" w:rsidRPr="006D7CAF" w:rsidRDefault="003234F4" w:rsidP="00DD2041">
      <w:pPr>
        <w:autoSpaceDE w:val="0"/>
        <w:autoSpaceDN w:val="0"/>
        <w:adjustRightInd w:val="0"/>
        <w:spacing w:after="0" w:line="240" w:lineRule="auto"/>
        <w:rPr>
          <w:lang w:val="en-US"/>
        </w:rPr>
      </w:pPr>
      <w:r w:rsidRPr="006D7CAF">
        <w:rPr>
          <w:lang w:val="en-US"/>
        </w:rPr>
        <w:t xml:space="preserve">Gennaro et al., 2007: Sleep </w:t>
      </w:r>
      <w:r w:rsidR="00F3635F" w:rsidRPr="006D7CAF">
        <w:rPr>
          <w:lang w:val="en-US"/>
        </w:rPr>
        <w:t>deviation, rsEEG after sleep deviration. Increase in delta power.</w:t>
      </w:r>
    </w:p>
    <w:p w14:paraId="0FF18F96" w14:textId="411E1A13" w:rsidR="00F3635F" w:rsidRPr="006D7CAF" w:rsidRDefault="00F3635F" w:rsidP="00DD2041">
      <w:pPr>
        <w:autoSpaceDE w:val="0"/>
        <w:autoSpaceDN w:val="0"/>
        <w:adjustRightInd w:val="0"/>
        <w:spacing w:after="0" w:line="240" w:lineRule="auto"/>
        <w:rPr>
          <w:lang w:val="en-US"/>
        </w:rPr>
      </w:pPr>
    </w:p>
    <w:p w14:paraId="3ADB27AA" w14:textId="554BD3D5" w:rsidR="00F3635F" w:rsidRPr="006D7CAF" w:rsidRDefault="00F3635F" w:rsidP="00DD2041">
      <w:pPr>
        <w:autoSpaceDE w:val="0"/>
        <w:autoSpaceDN w:val="0"/>
        <w:adjustRightInd w:val="0"/>
        <w:spacing w:after="0" w:line="240" w:lineRule="auto"/>
        <w:rPr>
          <w:lang w:val="en-US"/>
        </w:rPr>
      </w:pPr>
      <w:r w:rsidRPr="006D7CAF">
        <w:rPr>
          <w:lang w:val="en-US"/>
        </w:rPr>
        <w:t xml:space="preserve">Gorgoni et al., 2014: Sleep deviation, higher level of subjective sleepiness and increase of delta and beta EEG activity. </w:t>
      </w:r>
    </w:p>
    <w:p w14:paraId="590A694B" w14:textId="7F76570E" w:rsidR="00C74BCA" w:rsidRPr="006D7CAF" w:rsidRDefault="00C74BCA" w:rsidP="00DD2041">
      <w:pPr>
        <w:autoSpaceDE w:val="0"/>
        <w:autoSpaceDN w:val="0"/>
        <w:adjustRightInd w:val="0"/>
        <w:spacing w:after="0" w:line="240" w:lineRule="auto"/>
        <w:rPr>
          <w:lang w:val="en-US"/>
        </w:rPr>
      </w:pPr>
    </w:p>
    <w:p w14:paraId="4EAFD177" w14:textId="1E0D47AD" w:rsidR="00C74BCA" w:rsidRPr="006D7CAF" w:rsidRDefault="002560E8" w:rsidP="00DD2041">
      <w:pPr>
        <w:autoSpaceDE w:val="0"/>
        <w:autoSpaceDN w:val="0"/>
        <w:adjustRightInd w:val="0"/>
        <w:spacing w:after="0" w:line="240" w:lineRule="auto"/>
        <w:rPr>
          <w:lang w:val="en-US"/>
        </w:rPr>
      </w:pPr>
      <w:r w:rsidRPr="006D7CAF">
        <w:rPr>
          <w:lang w:val="en-US"/>
        </w:rPr>
        <w:t>Wang et al., 2025: Studies on EEG in patients with axiety few and scattered. Significantly increased beta band activity (power spectrum). Suggested that increased power of beta rhythm is related to high levels of anxiety in healthy participants and patients with social anxiety.</w:t>
      </w:r>
    </w:p>
    <w:p w14:paraId="4AACC398" w14:textId="77777777" w:rsidR="002560E8" w:rsidRPr="006D7CAF" w:rsidRDefault="00C74BCA" w:rsidP="002560E8">
      <w:pPr>
        <w:autoSpaceDE w:val="0"/>
        <w:autoSpaceDN w:val="0"/>
        <w:adjustRightInd w:val="0"/>
        <w:spacing w:after="0" w:line="240" w:lineRule="auto"/>
        <w:rPr>
          <w:lang w:val="en-US"/>
        </w:rPr>
      </w:pPr>
      <w:r w:rsidRPr="006D7CAF">
        <w:rPr>
          <w:lang w:val="en-US"/>
        </w:rPr>
        <w:t>How ever symptoms</w:t>
      </w:r>
      <w:r w:rsidR="002560E8" w:rsidRPr="006D7CAF">
        <w:rPr>
          <w:lang w:val="en-US"/>
        </w:rPr>
        <w:t>. These studies indicated increased beta-band activity in patients with anxiety</w:t>
      </w:r>
    </w:p>
    <w:p w14:paraId="63E620D7" w14:textId="2B994FFE" w:rsidR="00C74BCA" w:rsidRPr="006D7CAF" w:rsidRDefault="002560E8" w:rsidP="002560E8">
      <w:pPr>
        <w:autoSpaceDE w:val="0"/>
        <w:autoSpaceDN w:val="0"/>
        <w:adjustRightInd w:val="0"/>
        <w:spacing w:after="0" w:line="240" w:lineRule="auto"/>
        <w:rPr>
          <w:lang w:val="en-US"/>
        </w:rPr>
      </w:pPr>
      <w:r w:rsidRPr="006D7CAF">
        <w:rPr>
          <w:lang w:val="en-US"/>
        </w:rPr>
        <w:t>disorders or healthy participants experiencing an induced anxiety state. Suggest abnormal hyperarousal of brain alertness.</w:t>
      </w:r>
    </w:p>
    <w:p w14:paraId="339E8E81" w14:textId="64CDAC6C" w:rsidR="002560E8" w:rsidRPr="006D7CAF" w:rsidRDefault="002560E8" w:rsidP="002560E8">
      <w:pPr>
        <w:autoSpaceDE w:val="0"/>
        <w:autoSpaceDN w:val="0"/>
        <w:adjustRightInd w:val="0"/>
        <w:spacing w:after="0" w:line="240" w:lineRule="auto"/>
        <w:rPr>
          <w:lang w:val="en-US"/>
        </w:rPr>
      </w:pPr>
    </w:p>
    <w:p w14:paraId="415CA8F7" w14:textId="15D23B8D" w:rsidR="002560E8" w:rsidRPr="006D7CAF" w:rsidRDefault="002560E8" w:rsidP="002560E8">
      <w:pPr>
        <w:autoSpaceDE w:val="0"/>
        <w:autoSpaceDN w:val="0"/>
        <w:adjustRightInd w:val="0"/>
        <w:spacing w:after="0" w:line="240" w:lineRule="auto"/>
        <w:rPr>
          <w:lang w:val="en-US"/>
        </w:rPr>
      </w:pPr>
      <w:r w:rsidRPr="006D7CAF">
        <w:rPr>
          <w:lang w:val="en-US"/>
        </w:rPr>
        <w:t xml:space="preserve">Li et al., 2020: Fatigue, no </w:t>
      </w:r>
      <w:r w:rsidR="00423BFF" w:rsidRPr="006D7CAF">
        <w:rPr>
          <w:lang w:val="en-US"/>
        </w:rPr>
        <w:t>significant difference/changes in delta power.</w:t>
      </w:r>
    </w:p>
    <w:p w14:paraId="3D434D97" w14:textId="227B4427" w:rsidR="00423BFF" w:rsidRPr="006D7CAF" w:rsidRDefault="00423BFF" w:rsidP="002560E8">
      <w:pPr>
        <w:autoSpaceDE w:val="0"/>
        <w:autoSpaceDN w:val="0"/>
        <w:adjustRightInd w:val="0"/>
        <w:spacing w:after="0" w:line="240" w:lineRule="auto"/>
        <w:rPr>
          <w:lang w:val="en-US"/>
        </w:rPr>
      </w:pPr>
      <w:r>
        <w:t xml:space="preserve">Jap, Lal, Fischer &amp; Bekiaris, 2009: fatigue. </w:t>
      </w:r>
      <w:r w:rsidRPr="006D7CAF">
        <w:rPr>
          <w:lang w:val="en-US"/>
        </w:rPr>
        <w:t xml:space="preserve">Stable data activity over time. Significant decrease of beta activity. </w:t>
      </w:r>
    </w:p>
    <w:p w14:paraId="6DF253A6" w14:textId="047FEC16" w:rsidR="00423BFF" w:rsidRPr="006D7CAF" w:rsidRDefault="00423BFF" w:rsidP="002560E8">
      <w:pPr>
        <w:autoSpaceDE w:val="0"/>
        <w:autoSpaceDN w:val="0"/>
        <w:adjustRightInd w:val="0"/>
        <w:spacing w:after="0" w:line="240" w:lineRule="auto"/>
        <w:rPr>
          <w:lang w:val="en-US"/>
        </w:rPr>
      </w:pPr>
    </w:p>
    <w:p w14:paraId="54FA4326" w14:textId="116FD04A" w:rsidR="00423BFF" w:rsidRPr="00423BFF" w:rsidRDefault="00423BFF" w:rsidP="00423BFF">
      <w:pPr>
        <w:autoSpaceDE w:val="0"/>
        <w:autoSpaceDN w:val="0"/>
        <w:adjustRightInd w:val="0"/>
        <w:spacing w:after="0" w:line="240" w:lineRule="auto"/>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 xml:space="preserve">(Newson &amp; Thiagarajan, 2019):In a reviwe of restung state frequency bands in psychiatric disorders. </w:t>
      </w:r>
      <w:r w:rsidRPr="00423BFF">
        <w:rPr>
          <w:rFonts w:ascii="Times New Roman" w:eastAsia="NimbusRomNo9L-Regu" w:hAnsi="Times New Roman" w:cs="Times New Roman"/>
          <w:sz w:val="24"/>
          <w:szCs w:val="24"/>
          <w:lang w:val="en-US"/>
        </w:rPr>
        <w:t>Aggregating across all reported results we demonstrate that characteristic patterns</w:t>
      </w:r>
    </w:p>
    <w:p w14:paraId="1FEEF095" w14:textId="77777777" w:rsidR="00423BFF" w:rsidRPr="00423BFF" w:rsidRDefault="00423BFF" w:rsidP="00423BFF">
      <w:pPr>
        <w:autoSpaceDE w:val="0"/>
        <w:autoSpaceDN w:val="0"/>
        <w:adjustRightInd w:val="0"/>
        <w:spacing w:after="0" w:line="240" w:lineRule="auto"/>
        <w:rPr>
          <w:rFonts w:ascii="Times New Roman" w:eastAsia="NimbusRomNo9L-Regu" w:hAnsi="Times New Roman" w:cs="Times New Roman"/>
          <w:sz w:val="24"/>
          <w:szCs w:val="24"/>
          <w:lang w:val="en-US"/>
        </w:rPr>
      </w:pPr>
      <w:r w:rsidRPr="00423BFF">
        <w:rPr>
          <w:rFonts w:ascii="Times New Roman" w:eastAsia="NimbusRomNo9L-Regu" w:hAnsi="Times New Roman" w:cs="Times New Roman"/>
          <w:sz w:val="24"/>
          <w:szCs w:val="24"/>
          <w:lang w:val="en-US"/>
        </w:rPr>
        <w:t>of power change within specific frequency bands are not necessarily unique to any</w:t>
      </w:r>
    </w:p>
    <w:p w14:paraId="2C904D8F" w14:textId="77777777" w:rsidR="00423BFF" w:rsidRPr="00423BFF" w:rsidRDefault="00423BFF" w:rsidP="00423BFF">
      <w:pPr>
        <w:autoSpaceDE w:val="0"/>
        <w:autoSpaceDN w:val="0"/>
        <w:adjustRightInd w:val="0"/>
        <w:spacing w:after="0" w:line="240" w:lineRule="auto"/>
        <w:rPr>
          <w:rFonts w:ascii="Times New Roman" w:eastAsia="NimbusRomNo9L-Regu" w:hAnsi="Times New Roman" w:cs="Times New Roman"/>
          <w:sz w:val="24"/>
          <w:szCs w:val="24"/>
          <w:lang w:val="en-US"/>
        </w:rPr>
      </w:pPr>
      <w:r w:rsidRPr="00423BFF">
        <w:rPr>
          <w:rFonts w:ascii="Times New Roman" w:eastAsia="NimbusRomNo9L-Regu" w:hAnsi="Times New Roman" w:cs="Times New Roman"/>
          <w:sz w:val="24"/>
          <w:szCs w:val="24"/>
          <w:lang w:val="en-US"/>
        </w:rPr>
        <w:t>one disorder but show substantial overlap across disorders as well as variability</w:t>
      </w:r>
    </w:p>
    <w:p w14:paraId="3A90C74F" w14:textId="44F207CC" w:rsidR="00423BFF" w:rsidRDefault="00423BFF" w:rsidP="00423BFF">
      <w:pPr>
        <w:autoSpaceDE w:val="0"/>
        <w:autoSpaceDN w:val="0"/>
        <w:adjustRightInd w:val="0"/>
        <w:spacing w:after="0" w:line="240" w:lineRule="auto"/>
        <w:rPr>
          <w:rFonts w:ascii="Times New Roman" w:eastAsia="NimbusRomNo9L-Regu" w:hAnsi="Times New Roman" w:cs="Times New Roman"/>
          <w:sz w:val="24"/>
          <w:szCs w:val="24"/>
          <w:lang w:val="en-US"/>
        </w:rPr>
      </w:pPr>
      <w:r w:rsidRPr="00423BFF">
        <w:rPr>
          <w:rFonts w:ascii="Times New Roman" w:eastAsia="NimbusRomNo9L-Regu" w:hAnsi="Times New Roman" w:cs="Times New Roman"/>
          <w:sz w:val="24"/>
          <w:szCs w:val="24"/>
          <w:lang w:val="en-US"/>
        </w:rPr>
        <w:t>within disorder</w:t>
      </w:r>
      <w:r w:rsidR="00713A0A">
        <w:rPr>
          <w:rFonts w:ascii="Times New Roman" w:eastAsia="NimbusRomNo9L-Regu" w:hAnsi="Times New Roman" w:cs="Times New Roman"/>
          <w:sz w:val="24"/>
          <w:szCs w:val="24"/>
          <w:lang w:val="en-US"/>
        </w:rPr>
        <w:t xml:space="preserve">. </w:t>
      </w:r>
      <w:r w:rsidR="00BB3A82">
        <w:rPr>
          <w:rFonts w:ascii="Times New Roman" w:eastAsia="NimbusRomNo9L-Regu" w:hAnsi="Times New Roman" w:cs="Times New Roman"/>
          <w:sz w:val="24"/>
          <w:szCs w:val="24"/>
          <w:lang w:val="en-US"/>
        </w:rPr>
        <w:t>Increase in absolute delta power in depression. Depression: 8 studies were identified for the review. Dominant result was increase in the absolute beta power. However, these increases were no longer visible when considering relative power, where most studies failed to find any significant differences across any band. To few studies on anxiety for the inference of any trends or for calculation of consistency scores.</w:t>
      </w:r>
    </w:p>
    <w:p w14:paraId="75587E9A" w14:textId="77777777" w:rsidR="006D7CAF" w:rsidRDefault="006D7CAF" w:rsidP="00423BFF">
      <w:pPr>
        <w:autoSpaceDE w:val="0"/>
        <w:autoSpaceDN w:val="0"/>
        <w:adjustRightInd w:val="0"/>
        <w:spacing w:after="0" w:line="240" w:lineRule="auto"/>
        <w:rPr>
          <w:rFonts w:ascii="Times New Roman" w:eastAsia="NimbusRomNo9L-Regu" w:hAnsi="Times New Roman" w:cs="Times New Roman"/>
          <w:sz w:val="24"/>
          <w:szCs w:val="24"/>
          <w:lang w:val="en-US"/>
        </w:rPr>
      </w:pPr>
    </w:p>
    <w:p w14:paraId="2857C1ED" w14:textId="75E08C2C" w:rsidR="004B6294" w:rsidRDefault="004B6294" w:rsidP="00423BFF">
      <w:pPr>
        <w:autoSpaceDE w:val="0"/>
        <w:autoSpaceDN w:val="0"/>
        <w:adjustRightInd w:val="0"/>
        <w:spacing w:after="0" w:line="240" w:lineRule="auto"/>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Sibilano et al., 2023</w:t>
      </w:r>
    </w:p>
    <w:p w14:paraId="216F3291" w14:textId="6CBF79B4" w:rsidR="004B6294" w:rsidRDefault="004B6294" w:rsidP="00423BFF">
      <w:pPr>
        <w:autoSpaceDE w:val="0"/>
        <w:autoSpaceDN w:val="0"/>
        <w:adjustRightInd w:val="0"/>
        <w:spacing w:after="0" w:line="240" w:lineRule="auto"/>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A deep learning approach</w:t>
      </w:r>
    </w:p>
    <w:p w14:paraId="77794A8B" w14:textId="7D7EE135" w:rsidR="006D7CAF" w:rsidRPr="006D7CAF" w:rsidRDefault="006D7CAF" w:rsidP="006D7CAF">
      <w:pPr>
        <w:autoSpaceDE w:val="0"/>
        <w:autoSpaceDN w:val="0"/>
        <w:adjustRightInd w:val="0"/>
        <w:spacing w:after="0" w:line="240" w:lineRule="auto"/>
        <w:rPr>
          <w:rFonts w:ascii="Times New Roman" w:eastAsia="NimbusRomNo9L-Regu" w:hAnsi="Times New Roman" w:cs="Times New Roman"/>
          <w:sz w:val="24"/>
          <w:szCs w:val="24"/>
          <w:lang w:val="en-US"/>
        </w:rPr>
      </w:pPr>
      <w:r w:rsidRPr="006D7CAF">
        <w:rPr>
          <w:rFonts w:ascii="Times New Roman" w:eastAsia="NimbusRomNo9L-Regu" w:hAnsi="Times New Roman" w:cs="Times New Roman"/>
          <w:sz w:val="24"/>
          <w:szCs w:val="24"/>
          <w:lang w:val="en-US"/>
        </w:rPr>
        <w:lastRenderedPageBreak/>
        <w:t>While MCI refers to a well-defined, intermediate stage between normal ageing and</w:t>
      </w:r>
      <w:r w:rsidR="000C6ECC">
        <w:rPr>
          <w:rFonts w:ascii="Times New Roman" w:eastAsia="NimbusRomNo9L-Regu" w:hAnsi="Times New Roman" w:cs="Times New Roman"/>
          <w:sz w:val="24"/>
          <w:szCs w:val="24"/>
          <w:lang w:val="en-US"/>
        </w:rPr>
        <w:t xml:space="preserve"> </w:t>
      </w:r>
      <w:r w:rsidRPr="006D7CAF">
        <w:rPr>
          <w:rFonts w:ascii="Times New Roman" w:eastAsia="NimbusRomNo9L-Regu" w:hAnsi="Times New Roman" w:cs="Times New Roman"/>
          <w:sz w:val="24"/>
          <w:szCs w:val="24"/>
          <w:lang w:val="en-US"/>
        </w:rPr>
        <w:t>pathological</w:t>
      </w:r>
      <w:r w:rsidR="000C6ECC">
        <w:rPr>
          <w:rFonts w:ascii="Times New Roman" w:eastAsia="NimbusRomNo9L-Regu" w:hAnsi="Times New Roman" w:cs="Times New Roman"/>
          <w:sz w:val="24"/>
          <w:szCs w:val="24"/>
          <w:lang w:val="en-US"/>
        </w:rPr>
        <w:t xml:space="preserve"> </w:t>
      </w:r>
      <w:r w:rsidRPr="006D7CAF">
        <w:rPr>
          <w:rFonts w:ascii="Times New Roman" w:eastAsia="NimbusRomNo9L-Regu" w:hAnsi="Times New Roman" w:cs="Times New Roman"/>
          <w:sz w:val="24"/>
          <w:szCs w:val="24"/>
          <w:lang w:val="en-US"/>
        </w:rPr>
        <w:t>status [9], many patients experience a subjective cognitive decline (SCD) in memory and other cognitive domains prior to demonstrable impairment.</w:t>
      </w:r>
    </w:p>
    <w:p w14:paraId="4C6D0C8D" w14:textId="7DBC4F51" w:rsidR="006D7CAF" w:rsidRDefault="006D7CAF" w:rsidP="006D7CAF">
      <w:pPr>
        <w:autoSpaceDE w:val="0"/>
        <w:autoSpaceDN w:val="0"/>
        <w:adjustRightInd w:val="0"/>
        <w:spacing w:after="0" w:line="240" w:lineRule="auto"/>
        <w:rPr>
          <w:rFonts w:ascii="Times New Roman" w:eastAsia="NimbusRomNo9L-Regu" w:hAnsi="Times New Roman" w:cs="Times New Roman"/>
          <w:sz w:val="24"/>
          <w:szCs w:val="24"/>
          <w:lang w:val="en-US"/>
        </w:rPr>
      </w:pPr>
      <w:r w:rsidRPr="006D7CAF">
        <w:rPr>
          <w:rFonts w:ascii="Times New Roman" w:eastAsia="NimbusRomNo9L-Regu" w:hAnsi="Times New Roman" w:cs="Times New Roman"/>
          <w:sz w:val="24"/>
          <w:szCs w:val="24"/>
          <w:lang w:val="en-US"/>
        </w:rPr>
        <w:t>SCD is not linked to a particular disease status</w:t>
      </w:r>
      <w:r w:rsidR="000C6ECC">
        <w:rPr>
          <w:rFonts w:ascii="Times New Roman" w:eastAsia="NimbusRomNo9L-Regu" w:hAnsi="Times New Roman" w:cs="Times New Roman"/>
          <w:sz w:val="24"/>
          <w:szCs w:val="24"/>
          <w:lang w:val="en-US"/>
        </w:rPr>
        <w:t xml:space="preserve"> </w:t>
      </w:r>
      <w:r w:rsidRPr="006D7CAF">
        <w:rPr>
          <w:rFonts w:ascii="Times New Roman" w:eastAsia="NimbusRomNo9L-Regu" w:hAnsi="Times New Roman" w:cs="Times New Roman"/>
          <w:sz w:val="24"/>
          <w:szCs w:val="24"/>
          <w:lang w:val="en-US"/>
        </w:rPr>
        <w:t>itself [10]. However, it has been proved that the subjective decline, even at the stage of normal cognitive</w:t>
      </w:r>
      <w:r w:rsidR="000C6ECC">
        <w:rPr>
          <w:rFonts w:ascii="Times New Roman" w:eastAsia="NimbusRomNo9L-Regu" w:hAnsi="Times New Roman" w:cs="Times New Roman"/>
          <w:sz w:val="24"/>
          <w:szCs w:val="24"/>
          <w:lang w:val="en-US"/>
        </w:rPr>
        <w:t xml:space="preserve"> </w:t>
      </w:r>
      <w:r w:rsidRPr="006D7CAF">
        <w:rPr>
          <w:rFonts w:ascii="Times New Roman" w:eastAsia="NimbusRomNo9L-Regu" w:hAnsi="Times New Roman" w:cs="Times New Roman"/>
          <w:sz w:val="24"/>
          <w:szCs w:val="24"/>
          <w:lang w:val="en-US"/>
        </w:rPr>
        <w:t>performance on mental tests, is associated with an</w:t>
      </w:r>
      <w:r w:rsidR="000C6ECC">
        <w:rPr>
          <w:rFonts w:ascii="Times New Roman" w:eastAsia="NimbusRomNo9L-Regu" w:hAnsi="Times New Roman" w:cs="Times New Roman"/>
          <w:sz w:val="24"/>
          <w:szCs w:val="24"/>
          <w:lang w:val="en-US"/>
        </w:rPr>
        <w:t xml:space="preserve"> </w:t>
      </w:r>
      <w:r w:rsidRPr="006D7CAF">
        <w:rPr>
          <w:rFonts w:ascii="Times New Roman" w:eastAsia="NimbusRomNo9L-Regu" w:hAnsi="Times New Roman" w:cs="Times New Roman"/>
          <w:sz w:val="24"/>
          <w:szCs w:val="24"/>
          <w:lang w:val="en-US"/>
        </w:rPr>
        <w:t>increased risk of positive biomarkers for Alzheimer’s</w:t>
      </w:r>
      <w:r w:rsidR="000C6ECC">
        <w:rPr>
          <w:rFonts w:ascii="Times New Roman" w:eastAsia="NimbusRomNo9L-Regu" w:hAnsi="Times New Roman" w:cs="Times New Roman"/>
          <w:sz w:val="24"/>
          <w:szCs w:val="24"/>
          <w:lang w:val="en-US"/>
        </w:rPr>
        <w:t xml:space="preserve"> </w:t>
      </w:r>
      <w:r w:rsidRPr="006D7CAF">
        <w:rPr>
          <w:rFonts w:ascii="Times New Roman" w:eastAsia="NimbusRomNo9L-Regu" w:hAnsi="Times New Roman" w:cs="Times New Roman"/>
          <w:sz w:val="24"/>
          <w:szCs w:val="24"/>
          <w:lang w:val="en-US"/>
        </w:rPr>
        <w:t>and later conversion to dementia [11–14]</w:t>
      </w:r>
    </w:p>
    <w:p w14:paraId="161D16FA" w14:textId="1D89A325" w:rsidR="006D7CAF" w:rsidRPr="004B6294" w:rsidRDefault="006D7CAF" w:rsidP="006D7CAF">
      <w:pPr>
        <w:autoSpaceDE w:val="0"/>
        <w:autoSpaceDN w:val="0"/>
        <w:adjustRightInd w:val="0"/>
        <w:spacing w:after="0" w:line="240" w:lineRule="auto"/>
        <w:rPr>
          <w:rFonts w:ascii="Times New Roman" w:eastAsia="NimbusRomNo9L-Regu" w:hAnsi="Times New Roman" w:cs="Times New Roman"/>
          <w:sz w:val="24"/>
          <w:szCs w:val="24"/>
          <w:lang w:val="en-US"/>
        </w:rPr>
      </w:pPr>
      <w:r w:rsidRPr="006D7CAF">
        <w:rPr>
          <w:rFonts w:ascii="Times New Roman" w:eastAsia="NimbusRomNo9L-Regu" w:hAnsi="Times New Roman" w:cs="Times New Roman"/>
          <w:sz w:val="24"/>
          <w:szCs w:val="24"/>
          <w:lang w:val="en-US"/>
        </w:rPr>
        <w:t xml:space="preserve">Since EEG signals reflect functional changes in the cerebral cortex, EEG-based biomarkers </w:t>
      </w:r>
      <w:r w:rsidRPr="004B6294">
        <w:rPr>
          <w:rFonts w:ascii="Times New Roman" w:eastAsia="NimbusRomNo9L-Regu" w:hAnsi="Times New Roman" w:cs="Times New Roman"/>
          <w:sz w:val="24"/>
          <w:szCs w:val="24"/>
          <w:lang w:val="en-US"/>
        </w:rPr>
        <w:t>can be used to assess</w:t>
      </w:r>
      <w:r w:rsidRPr="004B6294">
        <w:rPr>
          <w:rFonts w:ascii="Times New Roman" w:eastAsia="NimbusRomNo9L-Regu" w:hAnsi="Times New Roman" w:cs="Times New Roman"/>
          <w:sz w:val="24"/>
          <w:szCs w:val="24"/>
          <w:lang w:val="en-US"/>
        </w:rPr>
        <w:t xml:space="preserve"> </w:t>
      </w:r>
      <w:r w:rsidRPr="004B6294">
        <w:rPr>
          <w:rFonts w:ascii="Times New Roman" w:eastAsia="NimbusRomNo9L-Regu" w:hAnsi="Times New Roman" w:cs="Times New Roman"/>
          <w:sz w:val="24"/>
          <w:szCs w:val="24"/>
          <w:lang w:val="en-US"/>
        </w:rPr>
        <w:t>neuronal degeneration caused by AD progression</w:t>
      </w:r>
      <w:r w:rsidRPr="004B6294">
        <w:rPr>
          <w:rFonts w:ascii="Times New Roman" w:eastAsia="NimbusRomNo9L-Regu" w:hAnsi="Times New Roman" w:cs="Times New Roman"/>
          <w:sz w:val="24"/>
          <w:szCs w:val="24"/>
          <w:lang w:val="en-US"/>
        </w:rPr>
        <w:t xml:space="preserve"> </w:t>
      </w:r>
      <w:r w:rsidRPr="004B6294">
        <w:rPr>
          <w:rFonts w:ascii="Times New Roman" w:eastAsia="NimbusRomNo9L-Regu" w:hAnsi="Times New Roman" w:cs="Times New Roman"/>
          <w:sz w:val="24"/>
          <w:szCs w:val="24"/>
          <w:lang w:val="en-US"/>
        </w:rPr>
        <w:t>long before actual tissue loss or behavioral symptoms</w:t>
      </w:r>
      <w:r w:rsidRPr="004B6294">
        <w:rPr>
          <w:rFonts w:ascii="Times New Roman" w:eastAsia="NimbusRomNo9L-Regu" w:hAnsi="Times New Roman" w:cs="Times New Roman"/>
          <w:sz w:val="24"/>
          <w:szCs w:val="24"/>
          <w:lang w:val="en-US"/>
        </w:rPr>
        <w:t xml:space="preserve"> </w:t>
      </w:r>
      <w:r w:rsidRPr="004B6294">
        <w:rPr>
          <w:rFonts w:ascii="Times New Roman" w:eastAsia="NimbusRomNo9L-Regu" w:hAnsi="Times New Roman" w:cs="Times New Roman"/>
          <w:sz w:val="24"/>
          <w:szCs w:val="24"/>
          <w:lang w:val="en-US"/>
        </w:rPr>
        <w:t>appear</w:t>
      </w:r>
      <w:r w:rsidR="004B6294" w:rsidRPr="004B6294">
        <w:rPr>
          <w:rFonts w:ascii="Times New Roman" w:eastAsia="NimbusRomNo9L-Regu" w:hAnsi="Times New Roman" w:cs="Times New Roman"/>
          <w:sz w:val="24"/>
          <w:szCs w:val="24"/>
          <w:lang w:val="en-US"/>
        </w:rPr>
        <w:t>.</w:t>
      </w:r>
    </w:p>
    <w:p w14:paraId="6E43E650" w14:textId="4952E01E" w:rsidR="004B6294" w:rsidRPr="004B6294" w:rsidRDefault="004B6294" w:rsidP="004B6294">
      <w:pPr>
        <w:autoSpaceDE w:val="0"/>
        <w:autoSpaceDN w:val="0"/>
        <w:adjustRightInd w:val="0"/>
        <w:spacing w:after="0" w:line="240" w:lineRule="auto"/>
        <w:rPr>
          <w:rFonts w:ascii="Times New Roman" w:eastAsia="NimbusRomNo9L-Regu" w:hAnsi="Times New Roman" w:cs="Times New Roman"/>
          <w:sz w:val="24"/>
          <w:szCs w:val="24"/>
          <w:lang w:val="en-US"/>
        </w:rPr>
      </w:pPr>
      <w:r w:rsidRPr="004B6294">
        <w:rPr>
          <w:rFonts w:ascii="Times New Roman" w:eastAsia="NimbusRomNo9L-Regu" w:hAnsi="Times New Roman" w:cs="Times New Roman"/>
          <w:sz w:val="24"/>
          <w:szCs w:val="24"/>
          <w:lang w:val="en-US"/>
        </w:rPr>
        <w:t>On the same band, the</w:t>
      </w:r>
      <w:r w:rsidR="000C6ECC">
        <w:rPr>
          <w:rFonts w:ascii="Times New Roman" w:eastAsia="NimbusRomNo9L-Regu" w:hAnsi="Times New Roman" w:cs="Times New Roman"/>
          <w:sz w:val="24"/>
          <w:szCs w:val="24"/>
          <w:lang w:val="en-US"/>
        </w:rPr>
        <w:t xml:space="preserve"> </w:t>
      </w:r>
      <w:r w:rsidRPr="004B6294">
        <w:rPr>
          <w:rFonts w:ascii="Times New Roman" w:eastAsia="NimbusRomNo9L-Regu" w:hAnsi="Times New Roman" w:cs="Times New Roman"/>
          <w:sz w:val="24"/>
          <w:szCs w:val="24"/>
          <w:lang w:val="en-US"/>
        </w:rPr>
        <w:t>model reached good sensitivity and specificity values,</w:t>
      </w:r>
      <w:r w:rsidR="000C6ECC">
        <w:rPr>
          <w:rFonts w:ascii="Times New Roman" w:eastAsia="NimbusRomNo9L-Regu" w:hAnsi="Times New Roman" w:cs="Times New Roman"/>
          <w:sz w:val="24"/>
          <w:szCs w:val="24"/>
          <w:lang w:val="en-US"/>
        </w:rPr>
        <w:t xml:space="preserve"> </w:t>
      </w:r>
      <w:r w:rsidRPr="004B6294">
        <w:rPr>
          <w:rFonts w:ascii="Times New Roman" w:eastAsia="NimbusRomNo9L-Regu" w:hAnsi="Times New Roman" w:cs="Times New Roman"/>
          <w:sz w:val="24"/>
          <w:szCs w:val="24"/>
          <w:lang w:val="en-US"/>
        </w:rPr>
        <w:t>respectively of 73.3% and 78.6%, showing it is capable of discriminating SCD and MCI subjects when</w:t>
      </w:r>
    </w:p>
    <w:p w14:paraId="598B944D" w14:textId="77777777" w:rsidR="000C6ECC" w:rsidRDefault="004B6294" w:rsidP="004B6294">
      <w:pPr>
        <w:autoSpaceDE w:val="0"/>
        <w:autoSpaceDN w:val="0"/>
        <w:adjustRightInd w:val="0"/>
        <w:spacing w:after="0" w:line="240" w:lineRule="auto"/>
        <w:rPr>
          <w:rFonts w:ascii="Times New Roman" w:eastAsia="NimbusRomNo9L-Regu" w:hAnsi="Times New Roman" w:cs="Times New Roman"/>
          <w:sz w:val="24"/>
          <w:szCs w:val="24"/>
          <w:lang w:val="en-US"/>
        </w:rPr>
      </w:pPr>
      <w:r w:rsidRPr="004B6294">
        <w:rPr>
          <w:rFonts w:ascii="Times New Roman" w:eastAsia="NimbusRomNo9L-Regu" w:hAnsi="Times New Roman" w:cs="Times New Roman"/>
          <w:sz w:val="24"/>
          <w:szCs w:val="24"/>
          <w:lang w:val="en-US"/>
        </w:rPr>
        <w:t>they have that specific condition.</w:t>
      </w:r>
    </w:p>
    <w:p w14:paraId="1158ED82" w14:textId="2C8A7385" w:rsidR="004B6294" w:rsidRPr="004B6294" w:rsidRDefault="004B6294" w:rsidP="004B6294">
      <w:pPr>
        <w:autoSpaceDE w:val="0"/>
        <w:autoSpaceDN w:val="0"/>
        <w:adjustRightInd w:val="0"/>
        <w:spacing w:after="0" w:line="240" w:lineRule="auto"/>
        <w:rPr>
          <w:rFonts w:ascii="Times New Roman" w:eastAsia="NimbusRomNo9L-Regu" w:hAnsi="Times New Roman" w:cs="Times New Roman"/>
          <w:sz w:val="24"/>
          <w:szCs w:val="24"/>
          <w:lang w:val="en-US"/>
        </w:rPr>
      </w:pPr>
      <w:r w:rsidRPr="004B6294">
        <w:rPr>
          <w:rFonts w:ascii="Times New Roman" w:eastAsia="NimbusRomNo9L-Regu" w:hAnsi="Times New Roman" w:cs="Times New Roman"/>
          <w:sz w:val="24"/>
          <w:szCs w:val="24"/>
          <w:lang w:val="en-US"/>
        </w:rPr>
        <w:t>Indeed, changes</w:t>
      </w:r>
      <w:r w:rsidR="000C6ECC">
        <w:rPr>
          <w:rFonts w:ascii="Times New Roman" w:eastAsia="NimbusRomNo9L-Regu" w:hAnsi="Times New Roman" w:cs="Times New Roman"/>
          <w:sz w:val="24"/>
          <w:szCs w:val="24"/>
          <w:lang w:val="en-US"/>
        </w:rPr>
        <w:t xml:space="preserve"> </w:t>
      </w:r>
      <w:r w:rsidRPr="004B6294">
        <w:rPr>
          <w:rFonts w:ascii="Times New Roman" w:eastAsia="NimbusRomNo9L-Regu" w:hAnsi="Times New Roman" w:cs="Times New Roman"/>
          <w:sz w:val="24"/>
          <w:szCs w:val="24"/>
          <w:lang w:val="en-US"/>
        </w:rPr>
        <w:t>in relative power in the lower frequencies (δ and θ)</w:t>
      </w:r>
      <w:r w:rsidR="000C6ECC">
        <w:rPr>
          <w:rFonts w:ascii="Times New Roman" w:eastAsia="NimbusRomNo9L-Regu" w:hAnsi="Times New Roman" w:cs="Times New Roman"/>
          <w:sz w:val="24"/>
          <w:szCs w:val="24"/>
          <w:lang w:val="en-US"/>
        </w:rPr>
        <w:t xml:space="preserve"> </w:t>
      </w:r>
      <w:r w:rsidRPr="004B6294">
        <w:rPr>
          <w:rFonts w:ascii="Times New Roman" w:eastAsia="NimbusRomNo9L-Regu" w:hAnsi="Times New Roman" w:cs="Times New Roman"/>
          <w:sz w:val="24"/>
          <w:szCs w:val="24"/>
          <w:lang w:val="en-US"/>
        </w:rPr>
        <w:t>indicate a diffuse slowing of brain oscillations, which</w:t>
      </w:r>
      <w:r w:rsidR="000C6ECC">
        <w:rPr>
          <w:rFonts w:ascii="Times New Roman" w:eastAsia="NimbusRomNo9L-Regu" w:hAnsi="Times New Roman" w:cs="Times New Roman"/>
          <w:sz w:val="24"/>
          <w:szCs w:val="24"/>
          <w:lang w:val="en-US"/>
        </w:rPr>
        <w:t xml:space="preserve"> </w:t>
      </w:r>
      <w:r w:rsidRPr="004B6294">
        <w:rPr>
          <w:rFonts w:ascii="Times New Roman" w:eastAsia="NimbusRomNo9L-Regu" w:hAnsi="Times New Roman" w:cs="Times New Roman"/>
          <w:sz w:val="24"/>
          <w:szCs w:val="24"/>
          <w:lang w:val="en-US"/>
        </w:rPr>
        <w:t>is a hallmark feature in the progression of AD [33].</w:t>
      </w:r>
    </w:p>
    <w:p w14:paraId="2407A24E" w14:textId="7AB40B6F" w:rsidR="004B6294" w:rsidRPr="004B6294" w:rsidRDefault="004B6294" w:rsidP="004B6294">
      <w:pPr>
        <w:autoSpaceDE w:val="0"/>
        <w:autoSpaceDN w:val="0"/>
        <w:adjustRightInd w:val="0"/>
        <w:spacing w:after="0" w:line="240" w:lineRule="auto"/>
        <w:rPr>
          <w:rFonts w:ascii="Times New Roman" w:eastAsia="NimbusRomNo9L-Regu" w:hAnsi="Times New Roman" w:cs="Times New Roman"/>
          <w:sz w:val="24"/>
          <w:szCs w:val="24"/>
          <w:lang w:val="en-US"/>
        </w:rPr>
      </w:pPr>
      <w:r w:rsidRPr="004B6294">
        <w:rPr>
          <w:rFonts w:ascii="Times New Roman" w:eastAsia="NimbusRomNo9L-Regu" w:hAnsi="Times New Roman" w:cs="Times New Roman"/>
          <w:sz w:val="24"/>
          <w:szCs w:val="24"/>
          <w:lang w:val="en-US"/>
        </w:rPr>
        <w:t>In this context, EEG spectral analysis revealed that</w:t>
      </w:r>
      <w:r w:rsidR="000C6ECC">
        <w:rPr>
          <w:rFonts w:ascii="Times New Roman" w:eastAsia="NimbusRomNo9L-Regu" w:hAnsi="Times New Roman" w:cs="Times New Roman"/>
          <w:sz w:val="24"/>
          <w:szCs w:val="24"/>
          <w:lang w:val="en-US"/>
        </w:rPr>
        <w:t xml:space="preserve"> </w:t>
      </w:r>
      <w:r w:rsidRPr="004B6294">
        <w:rPr>
          <w:rFonts w:ascii="Times New Roman" w:eastAsia="NimbusRomNo9L-Regu" w:hAnsi="Times New Roman" w:cs="Times New Roman"/>
          <w:sz w:val="24"/>
          <w:szCs w:val="24"/>
          <w:lang w:val="en-US"/>
        </w:rPr>
        <w:t>higher delta and theta powers are</w:t>
      </w:r>
      <w:r w:rsidR="000C6ECC">
        <w:rPr>
          <w:rFonts w:ascii="Times New Roman" w:eastAsia="NimbusRomNo9L-Regu" w:hAnsi="Times New Roman" w:cs="Times New Roman"/>
          <w:sz w:val="24"/>
          <w:szCs w:val="24"/>
          <w:lang w:val="en-US"/>
        </w:rPr>
        <w:t xml:space="preserve"> </w:t>
      </w:r>
      <w:r w:rsidRPr="004B6294">
        <w:rPr>
          <w:rFonts w:ascii="Times New Roman" w:eastAsia="NimbusRomNo9L-Regu" w:hAnsi="Times New Roman" w:cs="Times New Roman"/>
          <w:sz w:val="24"/>
          <w:szCs w:val="24"/>
          <w:lang w:val="en-US"/>
        </w:rPr>
        <w:t>associated with clinical progression of SCD patients towards MCI and</w:t>
      </w:r>
      <w:r w:rsidR="000C6ECC">
        <w:rPr>
          <w:rFonts w:ascii="Times New Roman" w:eastAsia="NimbusRomNo9L-Regu" w:hAnsi="Times New Roman" w:cs="Times New Roman"/>
          <w:sz w:val="24"/>
          <w:szCs w:val="24"/>
          <w:lang w:val="en-US"/>
        </w:rPr>
        <w:t xml:space="preserve"> </w:t>
      </w:r>
      <w:r w:rsidRPr="004B6294">
        <w:rPr>
          <w:rFonts w:ascii="Times New Roman" w:eastAsia="NimbusRomNo9L-Regu" w:hAnsi="Times New Roman" w:cs="Times New Roman"/>
          <w:sz w:val="24"/>
          <w:szCs w:val="24"/>
          <w:lang w:val="en-US"/>
        </w:rPr>
        <w:t>dementia, mainly when considering EC resting-state</w:t>
      </w:r>
      <w:r w:rsidR="000C6ECC">
        <w:rPr>
          <w:rFonts w:ascii="Times New Roman" w:eastAsia="NimbusRomNo9L-Regu" w:hAnsi="Times New Roman" w:cs="Times New Roman"/>
          <w:sz w:val="24"/>
          <w:szCs w:val="24"/>
          <w:lang w:val="en-US"/>
        </w:rPr>
        <w:t xml:space="preserve"> </w:t>
      </w:r>
      <w:r w:rsidRPr="004B6294">
        <w:rPr>
          <w:rFonts w:ascii="Times New Roman" w:eastAsia="NimbusRomNo9L-Regu" w:hAnsi="Times New Roman" w:cs="Times New Roman"/>
          <w:sz w:val="24"/>
          <w:szCs w:val="24"/>
          <w:lang w:val="en-US"/>
        </w:rPr>
        <w:t>activity</w:t>
      </w:r>
      <w:r>
        <w:rPr>
          <w:rFonts w:ascii="Times New Roman" w:eastAsia="NimbusRomNo9L-Regu" w:hAnsi="Times New Roman" w:cs="Times New Roman"/>
          <w:sz w:val="24"/>
          <w:szCs w:val="24"/>
          <w:lang w:val="en-US"/>
        </w:rPr>
        <w:t>.</w:t>
      </w:r>
    </w:p>
    <w:p w14:paraId="761133FB" w14:textId="77777777" w:rsidR="000C6ECC" w:rsidRDefault="004B6294" w:rsidP="004B6294">
      <w:pPr>
        <w:autoSpaceDE w:val="0"/>
        <w:autoSpaceDN w:val="0"/>
        <w:adjustRightInd w:val="0"/>
        <w:spacing w:after="0" w:line="240" w:lineRule="auto"/>
        <w:rPr>
          <w:rFonts w:ascii="NimbusRomNo9L-Regu" w:eastAsia="NimbusRomNo9L-Regu" w:cs="NimbusRomNo9L-Regu"/>
          <w:sz w:val="24"/>
          <w:szCs w:val="24"/>
          <w:lang w:val="en-US"/>
        </w:rPr>
      </w:pPr>
      <w:r w:rsidRPr="004B6294">
        <w:rPr>
          <w:rFonts w:ascii="NimbusRomNo9L-Regu" w:eastAsia="NimbusRomNo9L-Regu" w:cs="NimbusRomNo9L-Regu"/>
          <w:sz w:val="24"/>
          <w:szCs w:val="24"/>
          <w:lang w:val="en-US"/>
        </w:rPr>
        <w:t>Our results uphold this evidence, showing that</w:t>
      </w:r>
      <w:r w:rsidR="000C6ECC">
        <w:rPr>
          <w:rFonts w:ascii="NimbusRomNo9L-Regu" w:eastAsia="NimbusRomNo9L-Regu" w:cs="NimbusRomNo9L-Regu"/>
          <w:sz w:val="24"/>
          <w:szCs w:val="24"/>
          <w:lang w:val="en-US"/>
        </w:rPr>
        <w:t xml:space="preserve"> </w:t>
      </w:r>
      <w:r w:rsidRPr="004B6294">
        <w:rPr>
          <w:rFonts w:ascii="NimbusRomNo9L-Regu" w:eastAsia="NimbusRomNo9L-Regu" w:cs="NimbusRomNo9L-Regu"/>
          <w:sz w:val="24"/>
          <w:szCs w:val="24"/>
          <w:lang w:val="en-US"/>
        </w:rPr>
        <w:t>changes in delta and theta are particularly useful in</w:t>
      </w:r>
      <w:r w:rsidR="000C6ECC">
        <w:rPr>
          <w:rFonts w:ascii="NimbusRomNo9L-Regu" w:eastAsia="NimbusRomNo9L-Regu" w:cs="NimbusRomNo9L-Regu"/>
          <w:sz w:val="24"/>
          <w:szCs w:val="24"/>
          <w:lang w:val="en-US"/>
        </w:rPr>
        <w:t xml:space="preserve"> </w:t>
      </w:r>
      <w:r w:rsidRPr="004B6294">
        <w:rPr>
          <w:rFonts w:ascii="NimbusRomNo9L-Regu" w:eastAsia="NimbusRomNo9L-Regu" w:cs="NimbusRomNo9L-Regu"/>
          <w:sz w:val="24"/>
          <w:szCs w:val="24"/>
          <w:lang w:val="en-US"/>
        </w:rPr>
        <w:t>characterizing the brain activity of subjects affected</w:t>
      </w:r>
      <w:r w:rsidR="000C6ECC">
        <w:rPr>
          <w:rFonts w:ascii="NimbusRomNo9L-Regu" w:eastAsia="NimbusRomNo9L-Regu" w:cs="NimbusRomNo9L-Regu"/>
          <w:sz w:val="24"/>
          <w:szCs w:val="24"/>
          <w:lang w:val="en-US"/>
        </w:rPr>
        <w:t xml:space="preserve"> </w:t>
      </w:r>
      <w:r w:rsidRPr="004B6294">
        <w:rPr>
          <w:rFonts w:ascii="NimbusRomNo9L-Regu" w:eastAsia="NimbusRomNo9L-Regu" w:cs="NimbusRomNo9L-Regu"/>
          <w:sz w:val="24"/>
          <w:szCs w:val="24"/>
          <w:lang w:val="en-US"/>
        </w:rPr>
        <w:t>by SCD or MCI, both when compared to other common EEG rhythms and to the all-band dataset</w:t>
      </w:r>
      <w:r w:rsidR="000C6ECC">
        <w:rPr>
          <w:rFonts w:ascii="NimbusRomNo9L-Regu" w:eastAsia="NimbusRomNo9L-Regu" w:cs="NimbusRomNo9L-Regu"/>
          <w:sz w:val="24"/>
          <w:szCs w:val="24"/>
          <w:lang w:val="en-US"/>
        </w:rPr>
        <w:t>.</w:t>
      </w:r>
    </w:p>
    <w:p w14:paraId="626F59F9" w14:textId="6FAF27F3" w:rsidR="004B6294" w:rsidRPr="004B6294" w:rsidRDefault="004B6294" w:rsidP="004B6294">
      <w:pPr>
        <w:autoSpaceDE w:val="0"/>
        <w:autoSpaceDN w:val="0"/>
        <w:adjustRightInd w:val="0"/>
        <w:spacing w:after="0" w:line="240" w:lineRule="auto"/>
        <w:rPr>
          <w:rFonts w:ascii="NimbusRomNo9L-Regu" w:eastAsia="NimbusRomNo9L-Regu" w:cs="NimbusRomNo9L-Regu"/>
          <w:sz w:val="24"/>
          <w:szCs w:val="24"/>
          <w:lang w:val="en-US"/>
        </w:rPr>
      </w:pPr>
      <w:r w:rsidRPr="004B6294">
        <w:rPr>
          <w:rFonts w:ascii="NimbusRomNo9L-Regu" w:eastAsia="NimbusRomNo9L-Regu" w:cs="NimbusRomNo9L-Regu"/>
          <w:sz w:val="24"/>
          <w:szCs w:val="24"/>
          <w:lang w:val="en-US"/>
        </w:rPr>
        <w:t>In order to further assess the performance of our</w:t>
      </w:r>
      <w:r w:rsidR="000C6ECC">
        <w:rPr>
          <w:rFonts w:ascii="NimbusRomNo9L-Regu" w:eastAsia="NimbusRomNo9L-Regu" w:cs="NimbusRomNo9L-Regu"/>
          <w:sz w:val="24"/>
          <w:szCs w:val="24"/>
          <w:lang w:val="en-US"/>
        </w:rPr>
        <w:t xml:space="preserve"> </w:t>
      </w:r>
      <w:r w:rsidRPr="004B6294">
        <w:rPr>
          <w:rFonts w:ascii="NimbusRomNo9L-Regu" w:eastAsia="NimbusRomNo9L-Regu" w:cs="NimbusRomNo9L-Regu"/>
          <w:sz w:val="24"/>
          <w:szCs w:val="24"/>
          <w:lang w:val="en-US"/>
        </w:rPr>
        <w:t>model, we added a control group of 17 healthy subjects and conducted a multiclass classification to dis-</w:t>
      </w:r>
    </w:p>
    <w:p w14:paraId="17490D8F" w14:textId="520D4A6F" w:rsidR="004B6294" w:rsidRDefault="004B6294" w:rsidP="004B6294">
      <w:pPr>
        <w:autoSpaceDE w:val="0"/>
        <w:autoSpaceDN w:val="0"/>
        <w:adjustRightInd w:val="0"/>
        <w:spacing w:after="0" w:line="240" w:lineRule="auto"/>
        <w:rPr>
          <w:rFonts w:ascii="NimbusRomNo9L-Regu" w:eastAsia="NimbusRomNo9L-Regu" w:cs="NimbusRomNo9L-Regu"/>
          <w:sz w:val="24"/>
          <w:szCs w:val="24"/>
          <w:lang w:val="en-US"/>
        </w:rPr>
      </w:pPr>
      <w:r w:rsidRPr="004B6294">
        <w:rPr>
          <w:rFonts w:ascii="NimbusRomNo9L-Regu" w:eastAsia="NimbusRomNo9L-Regu" w:cs="NimbusRomNo9L-Regu"/>
          <w:sz w:val="24"/>
          <w:szCs w:val="24"/>
          <w:lang w:val="en-US"/>
        </w:rPr>
        <w:t>criminate HC, SCD and MCI simultaneously.</w:t>
      </w:r>
      <w:r>
        <w:rPr>
          <w:rFonts w:ascii="NimbusRomNo9L-Regu" w:eastAsia="NimbusRomNo9L-Regu" w:cs="NimbusRomNo9L-Regu"/>
          <w:sz w:val="24"/>
          <w:szCs w:val="24"/>
          <w:lang w:val="en-US"/>
        </w:rPr>
        <w:t xml:space="preserve"> </w:t>
      </w:r>
      <w:r w:rsidRPr="004B6294">
        <w:rPr>
          <w:rFonts w:ascii="NimbusRomNo9L-Regu" w:eastAsia="NimbusRomNo9L-Regu" w:cs="NimbusRomNo9L-Regu"/>
          <w:sz w:val="24"/>
          <w:szCs w:val="24"/>
          <w:lang w:val="en-US"/>
        </w:rPr>
        <w:t>These results are in line with</w:t>
      </w:r>
      <w:r w:rsidR="000C6ECC">
        <w:rPr>
          <w:rFonts w:ascii="NimbusRomNo9L-Regu" w:eastAsia="NimbusRomNo9L-Regu" w:cs="NimbusRomNo9L-Regu"/>
          <w:sz w:val="24"/>
          <w:szCs w:val="24"/>
          <w:lang w:val="en-US"/>
        </w:rPr>
        <w:t xml:space="preserve"> </w:t>
      </w:r>
      <w:r w:rsidRPr="004B6294">
        <w:rPr>
          <w:rFonts w:ascii="NimbusRomNo9L-Regu" w:eastAsia="NimbusRomNo9L-Regu" w:cs="NimbusRomNo9L-Regu"/>
          <w:sz w:val="24"/>
          <w:szCs w:val="24"/>
          <w:lang w:val="en-US"/>
        </w:rPr>
        <w:t>evidence</w:t>
      </w:r>
      <w:r w:rsidR="000C6ECC">
        <w:rPr>
          <w:rFonts w:ascii="NimbusRomNo9L-Regu" w:eastAsia="NimbusRomNo9L-Regu" w:cs="NimbusRomNo9L-Regu"/>
          <w:sz w:val="24"/>
          <w:szCs w:val="24"/>
          <w:lang w:val="en-US"/>
        </w:rPr>
        <w:t xml:space="preserve"> </w:t>
      </w:r>
      <w:r w:rsidRPr="004B6294">
        <w:rPr>
          <w:rFonts w:ascii="NimbusRomNo9L-Regu" w:eastAsia="NimbusRomNo9L-Regu" w:cs="NimbusRomNo9L-Regu"/>
          <w:sz w:val="24"/>
          <w:szCs w:val="24"/>
          <w:lang w:val="en-US"/>
        </w:rPr>
        <w:t>reported in literature that both SCD and MCI subjects are characterized by lower amplitude of posterior</w:t>
      </w:r>
      <w:r w:rsidR="000C6ECC">
        <w:rPr>
          <w:rFonts w:ascii="NimbusRomNo9L-Regu" w:eastAsia="NimbusRomNo9L-Regu" w:cs="NimbusRomNo9L-Regu"/>
          <w:sz w:val="24"/>
          <w:szCs w:val="24"/>
          <w:lang w:val="en-US"/>
        </w:rPr>
        <w:t xml:space="preserve"> </w:t>
      </w:r>
      <w:r w:rsidRPr="004B6294">
        <w:rPr>
          <w:rFonts w:ascii="NimbusRomNo9L-Regu" w:eastAsia="NimbusRomNo9L-Regu" w:cs="NimbusRomNo9L-Regu"/>
          <w:sz w:val="24"/>
          <w:szCs w:val="24"/>
          <w:lang w:val="en-US"/>
        </w:rPr>
        <w:t>alpha rhythms in rsEEG in relation to cognitive functions when compared to controls</w:t>
      </w:r>
    </w:p>
    <w:p w14:paraId="719116F0" w14:textId="77777777" w:rsidR="004B6294" w:rsidRDefault="004B6294" w:rsidP="004B6294">
      <w:pPr>
        <w:autoSpaceDE w:val="0"/>
        <w:autoSpaceDN w:val="0"/>
        <w:adjustRightInd w:val="0"/>
        <w:spacing w:after="0" w:line="240" w:lineRule="auto"/>
        <w:rPr>
          <w:rFonts w:ascii="NimbusRomNo9L-Regu" w:eastAsia="NimbusRomNo9L-Regu" w:cs="NimbusRomNo9L-Regu"/>
          <w:sz w:val="24"/>
          <w:szCs w:val="24"/>
          <w:lang w:val="en-US"/>
        </w:rPr>
      </w:pPr>
    </w:p>
    <w:p w14:paraId="73084B73" w14:textId="77777777" w:rsidR="004B6294" w:rsidRDefault="004B6294" w:rsidP="004B6294">
      <w:pPr>
        <w:autoSpaceDE w:val="0"/>
        <w:autoSpaceDN w:val="0"/>
        <w:adjustRightInd w:val="0"/>
        <w:spacing w:after="0" w:line="240" w:lineRule="auto"/>
        <w:rPr>
          <w:rFonts w:ascii="NimbusRomNo9L-Regu" w:eastAsia="NimbusRomNo9L-Regu" w:cs="NimbusRomNo9L-Regu"/>
          <w:sz w:val="24"/>
          <w:szCs w:val="24"/>
          <w:lang w:val="en-US"/>
        </w:rPr>
      </w:pPr>
    </w:p>
    <w:p w14:paraId="58C05645" w14:textId="77777777" w:rsidR="004B6294" w:rsidRDefault="004B6294" w:rsidP="004B6294">
      <w:pPr>
        <w:autoSpaceDE w:val="0"/>
        <w:autoSpaceDN w:val="0"/>
        <w:adjustRightInd w:val="0"/>
        <w:spacing w:after="0" w:line="240" w:lineRule="auto"/>
        <w:rPr>
          <w:rFonts w:ascii="NimbusRomNo9L-Regu" w:eastAsia="NimbusRomNo9L-Regu" w:cs="NimbusRomNo9L-Regu"/>
          <w:sz w:val="24"/>
          <w:szCs w:val="24"/>
          <w:lang w:val="en-US"/>
        </w:rPr>
      </w:pPr>
    </w:p>
    <w:p w14:paraId="3EBE8F1D" w14:textId="77777777" w:rsidR="004B6294" w:rsidRDefault="004B6294" w:rsidP="004B6294">
      <w:pPr>
        <w:autoSpaceDE w:val="0"/>
        <w:autoSpaceDN w:val="0"/>
        <w:adjustRightInd w:val="0"/>
        <w:spacing w:after="0" w:line="240" w:lineRule="auto"/>
        <w:rPr>
          <w:rFonts w:ascii="NimbusRomNo9L-Regu" w:eastAsia="NimbusRomNo9L-Regu" w:cs="NimbusRomNo9L-Regu"/>
          <w:sz w:val="24"/>
          <w:szCs w:val="24"/>
          <w:lang w:val="en-US"/>
        </w:rPr>
      </w:pPr>
    </w:p>
    <w:p w14:paraId="18953A95" w14:textId="6C083AAE" w:rsidR="00EF6430" w:rsidRDefault="006F0057" w:rsidP="00A32EB8">
      <w:pPr>
        <w:autoSpaceDE w:val="0"/>
        <w:autoSpaceDN w:val="0"/>
        <w:adjustRightInd w:val="0"/>
        <w:spacing w:after="0" w:line="240" w:lineRule="auto"/>
        <w:rPr>
          <w:rFonts w:ascii="NimbusRomNo9L-Regu" w:eastAsia="NimbusRomNo9L-Regu" w:cs="NimbusRomNo9L-Regu"/>
          <w:sz w:val="24"/>
          <w:szCs w:val="24"/>
          <w:lang w:val="da-DK"/>
        </w:rPr>
      </w:pPr>
      <w:r w:rsidRPr="006D7CAF">
        <w:rPr>
          <w:rFonts w:ascii="NimbusRomNo9L-Regu" w:eastAsia="NimbusRomNo9L-Regu" w:cs="NimbusRomNo9L-Regu"/>
          <w:sz w:val="24"/>
          <w:szCs w:val="24"/>
          <w:lang w:val="da-DK"/>
        </w:rPr>
        <w:t>“</w:t>
      </w:r>
      <w:r w:rsidRPr="006D7CAF">
        <w:rPr>
          <w:rFonts w:ascii="NimbusRomNo9L-Regu" w:eastAsia="NimbusRomNo9L-Regu" w:cs="NimbusRomNo9L-Regu"/>
          <w:sz w:val="24"/>
          <w:szCs w:val="24"/>
          <w:lang w:val="da-DK"/>
        </w:rPr>
        <w:t>Brain fog</w:t>
      </w:r>
      <w:r w:rsidRPr="006D7CAF">
        <w:rPr>
          <w:rFonts w:ascii="NimbusRomNo9L-Regu" w:eastAsia="NimbusRomNo9L-Regu" w:cs="NimbusRomNo9L-Regu"/>
          <w:sz w:val="24"/>
          <w:szCs w:val="24"/>
          <w:lang w:val="da-DK"/>
        </w:rPr>
        <w:t>”</w:t>
      </w:r>
      <w:r w:rsidRPr="006D7CAF">
        <w:rPr>
          <w:rFonts w:ascii="NimbusRomNo9L-Regu" w:eastAsia="NimbusRomNo9L-Regu" w:cs="NimbusRomNo9L-Regu"/>
          <w:sz w:val="24"/>
          <w:szCs w:val="24"/>
          <w:lang w:val="da-DK"/>
        </w:rPr>
        <w:t xml:space="preserve"> furlanis et al., 2022</w:t>
      </w:r>
    </w:p>
    <w:p w14:paraId="25A3D325" w14:textId="77777777" w:rsidR="004B6294" w:rsidRPr="006D7CAF" w:rsidRDefault="004B6294" w:rsidP="00A32EB8">
      <w:pPr>
        <w:autoSpaceDE w:val="0"/>
        <w:autoSpaceDN w:val="0"/>
        <w:adjustRightInd w:val="0"/>
        <w:spacing w:after="0" w:line="240" w:lineRule="auto"/>
        <w:rPr>
          <w:rFonts w:ascii="NimbusRomNo9L-Regu" w:eastAsia="NimbusRomNo9L-Regu" w:cs="NimbusRomNo9L-Regu"/>
          <w:sz w:val="24"/>
          <w:szCs w:val="24"/>
          <w:lang w:val="da-DK"/>
        </w:rPr>
      </w:pPr>
    </w:p>
    <w:p w14:paraId="6C7637DA" w14:textId="77777777" w:rsidR="00EF6430" w:rsidRPr="006D7CAF" w:rsidRDefault="00EF6430" w:rsidP="00A32EB8">
      <w:pPr>
        <w:autoSpaceDE w:val="0"/>
        <w:autoSpaceDN w:val="0"/>
        <w:adjustRightInd w:val="0"/>
        <w:spacing w:after="0" w:line="240" w:lineRule="auto"/>
        <w:rPr>
          <w:rFonts w:eastAsia="NimbusRomNo9L-Regu" w:cstheme="minorHAnsi"/>
          <w:sz w:val="24"/>
          <w:szCs w:val="24"/>
          <w:lang w:val="da-DK"/>
        </w:rPr>
      </w:pPr>
    </w:p>
    <w:p w14:paraId="6E8DA6D6" w14:textId="77777777" w:rsidR="00E91D61" w:rsidRPr="006D7CAF" w:rsidRDefault="00E91D61" w:rsidP="00A32EB8">
      <w:pPr>
        <w:autoSpaceDE w:val="0"/>
        <w:autoSpaceDN w:val="0"/>
        <w:adjustRightInd w:val="0"/>
        <w:spacing w:after="0" w:line="240" w:lineRule="auto"/>
        <w:rPr>
          <w:rFonts w:ascii="NimbusRomNo9L-Regu" w:eastAsia="NimbusRomNo9L-Regu" w:cs="NimbusRomNo9L-Regu"/>
          <w:sz w:val="24"/>
          <w:szCs w:val="24"/>
          <w:lang w:val="da-DK"/>
        </w:rPr>
      </w:pPr>
    </w:p>
    <w:p w14:paraId="6506E23B" w14:textId="77777777" w:rsidR="00E91D61" w:rsidRPr="006D7CAF" w:rsidRDefault="00E91D61" w:rsidP="00A32EB8">
      <w:pPr>
        <w:autoSpaceDE w:val="0"/>
        <w:autoSpaceDN w:val="0"/>
        <w:adjustRightInd w:val="0"/>
        <w:spacing w:after="0" w:line="240" w:lineRule="auto"/>
        <w:rPr>
          <w:rFonts w:ascii="NimbusRomNo9L-Regu" w:eastAsia="NimbusRomNo9L-Regu" w:cs="NimbusRomNo9L-Regu"/>
          <w:sz w:val="24"/>
          <w:szCs w:val="24"/>
          <w:lang w:val="da-DK"/>
        </w:rPr>
      </w:pPr>
    </w:p>
    <w:p w14:paraId="4900982B" w14:textId="77777777" w:rsidR="002F5F82" w:rsidRDefault="002F5F82" w:rsidP="00A32EB8">
      <w:pPr>
        <w:autoSpaceDE w:val="0"/>
        <w:autoSpaceDN w:val="0"/>
        <w:adjustRightInd w:val="0"/>
        <w:spacing w:after="0" w:line="240" w:lineRule="auto"/>
        <w:rPr>
          <w:rFonts w:ascii="NimbusRomNo9L-Regu" w:eastAsia="NimbusRomNo9L-Regu" w:cs="NimbusRomNo9L-Regu"/>
          <w:sz w:val="24"/>
          <w:szCs w:val="24"/>
          <w:lang w:val="en-US"/>
        </w:rPr>
      </w:pPr>
      <w:r w:rsidRPr="002F5F82">
        <w:rPr>
          <w:rFonts w:ascii="NimbusRomNo9L-Regu" w:eastAsia="NimbusRomNo9L-Regu" w:cs="NimbusRomNo9L-Regu"/>
          <w:sz w:val="24"/>
          <w:szCs w:val="24"/>
          <w:lang w:val="en-US"/>
        </w:rPr>
        <w:t>central nervous system (CNS)</w:t>
      </w:r>
    </w:p>
    <w:p w14:paraId="77961BAD" w14:textId="77777777" w:rsidR="002F5F82" w:rsidRDefault="002F5F82" w:rsidP="00A32EB8">
      <w:pPr>
        <w:autoSpaceDE w:val="0"/>
        <w:autoSpaceDN w:val="0"/>
        <w:adjustRightInd w:val="0"/>
        <w:spacing w:after="0" w:line="240" w:lineRule="auto"/>
        <w:rPr>
          <w:rFonts w:ascii="NimbusRomNo9L-Regu" w:eastAsia="NimbusRomNo9L-Regu" w:cs="NimbusRomNo9L-Regu"/>
          <w:sz w:val="24"/>
          <w:szCs w:val="24"/>
          <w:lang w:val="en-US"/>
        </w:rPr>
      </w:pPr>
    </w:p>
    <w:p w14:paraId="17DDF67E" w14:textId="77777777" w:rsidR="002F5F82" w:rsidRDefault="002F5F82" w:rsidP="00A32EB8">
      <w:pPr>
        <w:autoSpaceDE w:val="0"/>
        <w:autoSpaceDN w:val="0"/>
        <w:adjustRightInd w:val="0"/>
        <w:spacing w:after="0" w:line="240" w:lineRule="auto"/>
        <w:rPr>
          <w:rFonts w:ascii="NimbusRomNo9L-Regu" w:eastAsia="NimbusRomNo9L-Regu" w:cs="NimbusRomNo9L-Regu"/>
          <w:sz w:val="24"/>
          <w:szCs w:val="24"/>
          <w:lang w:val="en-US"/>
        </w:rPr>
      </w:pPr>
    </w:p>
    <w:p w14:paraId="4FE45E21" w14:textId="77777777" w:rsidR="002F5F82" w:rsidRDefault="002F5F82" w:rsidP="00A32EB8">
      <w:pPr>
        <w:autoSpaceDE w:val="0"/>
        <w:autoSpaceDN w:val="0"/>
        <w:adjustRightInd w:val="0"/>
        <w:spacing w:after="0" w:line="240" w:lineRule="auto"/>
        <w:rPr>
          <w:rFonts w:ascii="NimbusRomNo9L-Regu" w:eastAsia="NimbusRomNo9L-Regu" w:cs="NimbusRomNo9L-Regu"/>
          <w:sz w:val="24"/>
          <w:szCs w:val="24"/>
          <w:lang w:val="en-US"/>
        </w:rPr>
      </w:pPr>
    </w:p>
    <w:p w14:paraId="685D23E4" w14:textId="3315B85D"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lastRenderedPageBreak/>
        <w:t>For individuals with</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PCS, understanding whether their subjective cognitive di</w:t>
      </w:r>
      <w:r w:rsidRPr="00A32EB8">
        <w:rPr>
          <w:rFonts w:ascii="rtxr" w:eastAsia="NimbusRomNo9L-Regu" w:hAnsi="rtxr" w:cs="rtxr"/>
          <w:sz w:val="24"/>
          <w:szCs w:val="24"/>
          <w:lang w:val="en-US"/>
        </w:rPr>
        <w:t>ffi</w:t>
      </w:r>
      <w:r w:rsidRPr="00A32EB8">
        <w:rPr>
          <w:rFonts w:ascii="NimbusRomNo9L-Regu" w:eastAsia="NimbusRomNo9L-Regu" w:cs="NimbusRomNo9L-Regu"/>
          <w:sz w:val="24"/>
          <w:szCs w:val="24"/>
          <w:lang w:val="en-US"/>
        </w:rPr>
        <w:t>culties or fatigue could be linked</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to biological or neurological alterations could be valuable. However, identifying these links</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is not trivial. Finding group di</w:t>
      </w:r>
      <w:r w:rsidRPr="00A32EB8">
        <w:rPr>
          <w:rFonts w:ascii="rtxr" w:eastAsia="NimbusRomNo9L-Regu" w:hAnsi="rtxr" w:cs="rtxr"/>
          <w:sz w:val="24"/>
          <w:szCs w:val="24"/>
          <w:lang w:val="en-US"/>
        </w:rPr>
        <w:t>ff</w:t>
      </w:r>
      <w:r w:rsidRPr="00A32EB8">
        <w:rPr>
          <w:rFonts w:ascii="NimbusRomNo9L-Regu" w:eastAsia="NimbusRomNo9L-Regu" w:cs="NimbusRomNo9L-Regu"/>
          <w:sz w:val="24"/>
          <w:szCs w:val="24"/>
          <w:lang w:val="en-US"/>
        </w:rPr>
        <w:t>erences in these frequencies can be at least an indicator for</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somewhat abnormal functioning of the brain. Some studies seek to use the EEG for</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discovering</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so called biomarkers, hoping they will facilitate diagnosing,</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monitoring and treatment</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of the respective disease. In di</w:t>
      </w:r>
      <w:r w:rsidRPr="00A32EB8">
        <w:rPr>
          <w:rFonts w:ascii="rtxr" w:eastAsia="NimbusRomNo9L-Regu" w:hAnsi="rtxr" w:cs="rtxr"/>
          <w:sz w:val="24"/>
          <w:szCs w:val="24"/>
          <w:lang w:val="en-US"/>
        </w:rPr>
        <w:t>ff</w:t>
      </w:r>
      <w:r w:rsidRPr="00A32EB8">
        <w:rPr>
          <w:rFonts w:ascii="NimbusRomNo9L-Regu" w:eastAsia="NimbusRomNo9L-Regu" w:cs="NimbusRomNo9L-Regu"/>
          <w:sz w:val="24"/>
          <w:szCs w:val="24"/>
          <w:lang w:val="en-US"/>
        </w:rPr>
        <w:t>erential diagnoses, for example, the location and frequency of</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restingstate oscillations could distinguish patients with Parkinson</w:t>
      </w:r>
      <w:r w:rsidRPr="00A32EB8">
        <w:rPr>
          <w:rFonts w:ascii="NimbusRomNo9L-Regu" w:eastAsia="NimbusRomNo9L-Regu" w:cs="NimbusRomNo9L-Regu" w:hint="eastAsia"/>
          <w:sz w:val="24"/>
          <w:szCs w:val="24"/>
          <w:lang w:val="en-US"/>
        </w:rPr>
        <w:t>’</w:t>
      </w:r>
      <w:r w:rsidRPr="00A32EB8">
        <w:rPr>
          <w:rFonts w:ascii="NimbusRomNo9L-Regu" w:eastAsia="NimbusRomNo9L-Regu" w:cs="NimbusRomNo9L-Regu"/>
          <w:sz w:val="24"/>
          <w:szCs w:val="24"/>
          <w:lang w:val="en-US"/>
        </w:rPr>
        <w:t>s dementia from those with</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Alzheimer</w:t>
      </w:r>
      <w:r w:rsidRPr="00A32EB8">
        <w:rPr>
          <w:rFonts w:ascii="NimbusRomNo9L-Regu" w:eastAsia="NimbusRomNo9L-Regu" w:cs="NimbusRomNo9L-Regu" w:hint="eastAsia"/>
          <w:sz w:val="24"/>
          <w:szCs w:val="24"/>
          <w:lang w:val="en-US"/>
        </w:rPr>
        <w:t>’</w:t>
      </w:r>
      <w:r w:rsidRPr="00A32EB8">
        <w:rPr>
          <w:rFonts w:ascii="NimbusRomNo9L-Regu" w:eastAsia="NimbusRomNo9L-Regu" w:cs="NimbusRomNo9L-Regu"/>
          <w:sz w:val="24"/>
          <w:szCs w:val="24"/>
          <w:lang w:val="en-US"/>
        </w:rPr>
        <w:t>s (Babiloni et al., 2011).</w:t>
      </w:r>
    </w:p>
    <w:p w14:paraId="6CCA97A9" w14:textId="018FF2D7" w:rsidR="00A32EB8" w:rsidRPr="00A32EB8" w:rsidRDefault="00A32EB8" w:rsidP="00F21559">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In the PCS context, it would be for example interesting to evaluate, whether the EEG patterns</w:t>
      </w:r>
      <w:r w:rsidR="00F2155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of Myalgic encephalomyelitis</w:t>
      </w:r>
      <w:r w:rsidRPr="00A32EB8">
        <w:rPr>
          <w:rFonts w:ascii="rtxr" w:eastAsia="NimbusRomNo9L-Regu" w:hAnsi="rtxr" w:cs="rtxr"/>
          <w:sz w:val="24"/>
          <w:szCs w:val="24"/>
          <w:lang w:val="en-US"/>
        </w:rPr>
        <w:t>/</w:t>
      </w:r>
      <w:r w:rsidRPr="00A32EB8">
        <w:rPr>
          <w:rFonts w:ascii="NimbusRomNo9L-Regu" w:eastAsia="NimbusRomNo9L-Regu" w:cs="NimbusRomNo9L-Regu"/>
          <w:sz w:val="24"/>
          <w:szCs w:val="24"/>
          <w:lang w:val="en-US"/>
        </w:rPr>
        <w:t>chronic fatigue syndrome (ME</w:t>
      </w:r>
      <w:r w:rsidRPr="00A32EB8">
        <w:rPr>
          <w:rFonts w:ascii="rtxr" w:eastAsia="NimbusRomNo9L-Regu" w:hAnsi="rtxr" w:cs="rtxr"/>
          <w:sz w:val="24"/>
          <w:szCs w:val="24"/>
          <w:lang w:val="en-US"/>
        </w:rPr>
        <w:t>/</w:t>
      </w:r>
      <w:r w:rsidRPr="00A32EB8">
        <w:rPr>
          <w:rFonts w:ascii="NimbusRomNo9L-Regu" w:eastAsia="NimbusRomNo9L-Regu" w:cs="NimbusRomNo9L-Regu"/>
          <w:sz w:val="24"/>
          <w:szCs w:val="24"/>
          <w:lang w:val="en-US"/>
        </w:rPr>
        <w:t>CFS) that has symptoms</w:t>
      </w:r>
      <w:r w:rsidR="00F2155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similar to PCS (Wong andWeitzer, 2021) align with the EEG patterns of PCS. One study tried</w:t>
      </w:r>
      <w:r w:rsidR="00F2155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this already, comparing Fybromyalgia, ME</w:t>
      </w:r>
      <w:r w:rsidRPr="00A32EB8">
        <w:rPr>
          <w:rFonts w:ascii="rtxr" w:eastAsia="NimbusRomNo9L-Regu" w:hAnsi="rtxr" w:cs="rtxr"/>
          <w:sz w:val="24"/>
          <w:szCs w:val="24"/>
          <w:lang w:val="en-US"/>
        </w:rPr>
        <w:t>/</w:t>
      </w:r>
      <w:r w:rsidRPr="00A32EB8">
        <w:rPr>
          <w:rFonts w:ascii="NimbusRomNo9L-Regu" w:eastAsia="NimbusRomNo9L-Regu" w:cs="NimbusRomNo9L-Regu"/>
          <w:sz w:val="24"/>
          <w:szCs w:val="24"/>
          <w:lang w:val="en-US"/>
        </w:rPr>
        <w:t>CFS, and PCS, but came to the conclusion that for</w:t>
      </w:r>
      <w:r w:rsidR="00F2155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PCS the evidence is still too scarce (Silva-Passadouro et al., 2024). Therefore, one value of</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this studies lies in adding to the number of EEG studies in PCS.</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While EEG literature in PCS might be scarce, EEG literature in general is plentiful. Here, it</w:t>
      </w:r>
      <w:r w:rsidR="005A227E">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could be insightful to draw on results from EEG studies that investigate similar symptoms,</w:t>
      </w:r>
      <w:r w:rsidR="00F21559">
        <w:rPr>
          <w:rFonts w:ascii="NimbusRomNo9L-Regu" w:eastAsia="NimbusRomNo9L-Regu" w:cs="NimbusRomNo9L-Regu"/>
          <w:sz w:val="24"/>
          <w:szCs w:val="24"/>
          <w:lang w:val="en-US"/>
        </w:rPr>
        <w:t xml:space="preserve"> such as cognitive impairment and fatigue. </w:t>
      </w:r>
      <w:r w:rsidRPr="00A32EB8">
        <w:rPr>
          <w:rFonts w:ascii="NimbusRomNo9L-Regu" w:eastAsia="NimbusRomNo9L-Regu" w:cs="NimbusRomNo9L-Regu"/>
          <w:sz w:val="24"/>
          <w:szCs w:val="24"/>
          <w:lang w:val="en-US"/>
        </w:rPr>
        <w:t xml:space="preserve"> </w:t>
      </w:r>
    </w:p>
    <w:p w14:paraId="09D34DDD" w14:textId="77777777" w:rsidR="00A32EB8" w:rsidRDefault="00A32EB8" w:rsidP="00A32EB8">
      <w:pPr>
        <w:jc w:val="both"/>
        <w:rPr>
          <w:rFonts w:ascii="NimbusRomNo9L-Regu" w:eastAsia="NimbusRomNo9L-Regu" w:cs="NimbusRomNo9L-Regu"/>
          <w:sz w:val="24"/>
          <w:szCs w:val="24"/>
          <w:lang w:val="en-US"/>
        </w:rPr>
      </w:pPr>
    </w:p>
    <w:p w14:paraId="72A96018" w14:textId="77777777" w:rsidR="00A32EB8" w:rsidRPr="00A32EB8" w:rsidRDefault="00A32EB8" w:rsidP="00A32EB8">
      <w:pPr>
        <w:jc w:val="both"/>
        <w:rPr>
          <w:rFonts w:ascii="Times New Roman" w:hAnsi="Times New Roman" w:cs="Times New Roman"/>
          <w:sz w:val="24"/>
          <w:szCs w:val="24"/>
          <w:lang w:val="en-US"/>
        </w:rPr>
      </w:pPr>
    </w:p>
    <w:p w14:paraId="2171DA70" w14:textId="0A1ACCFC" w:rsidR="00614E8A" w:rsidRPr="000301D3" w:rsidRDefault="00614E8A" w:rsidP="00614E8A">
      <w:pPr>
        <w:jc w:val="both"/>
        <w:rPr>
          <w:b/>
          <w:bCs/>
          <w:lang w:val="da-DK"/>
        </w:rPr>
      </w:pPr>
      <w:r w:rsidRPr="000301D3">
        <w:rPr>
          <w:b/>
          <w:bCs/>
          <w:lang w:val="da-DK"/>
        </w:rPr>
        <w:t>Literature</w:t>
      </w:r>
    </w:p>
    <w:p w14:paraId="5D56CF72" w14:textId="5F041744" w:rsidR="00614E8A" w:rsidRPr="000301D3" w:rsidRDefault="00614E8A" w:rsidP="00614E8A">
      <w:pPr>
        <w:jc w:val="both"/>
        <w:rPr>
          <w:lang w:val="da-DK"/>
        </w:rPr>
      </w:pPr>
      <w:r w:rsidRPr="000301D3">
        <w:rPr>
          <w:lang w:val="da-DK"/>
        </w:rPr>
        <w:t>Birle et al., 2020</w:t>
      </w:r>
    </w:p>
    <w:p w14:paraId="3AFD7E45" w14:textId="29E1EC7E" w:rsidR="00614E8A" w:rsidRPr="000301D3" w:rsidRDefault="00614E8A" w:rsidP="00614E8A">
      <w:pPr>
        <w:jc w:val="both"/>
        <w:rPr>
          <w:lang w:val="da-DK"/>
        </w:rPr>
      </w:pPr>
      <w:r w:rsidRPr="000301D3">
        <w:rPr>
          <w:rFonts w:ascii="Times New Roman" w:hAnsi="Times New Roman" w:cs="Times New Roman"/>
          <w:sz w:val="24"/>
          <w:szCs w:val="24"/>
          <w:lang w:val="da-DK"/>
        </w:rPr>
        <w:t>Bland et al., 2024</w:t>
      </w:r>
    </w:p>
    <w:p w14:paraId="1650F171" w14:textId="63F2A8EE" w:rsidR="00614E8A" w:rsidRPr="000301D3" w:rsidRDefault="00614E8A" w:rsidP="00614E8A">
      <w:pPr>
        <w:jc w:val="both"/>
        <w:rPr>
          <w:lang w:val="da-DK"/>
        </w:rPr>
      </w:pPr>
      <w:r w:rsidRPr="000301D3">
        <w:rPr>
          <w:lang w:val="da-DK"/>
        </w:rPr>
        <w:t>Cambridge Cognition, 2015</w:t>
      </w:r>
    </w:p>
    <w:p w14:paraId="6F4792D1" w14:textId="2A1106B9" w:rsidR="00614E8A" w:rsidRPr="000301D3" w:rsidRDefault="00614E8A" w:rsidP="00614E8A">
      <w:pPr>
        <w:jc w:val="both"/>
        <w:rPr>
          <w:lang w:val="da-DK"/>
        </w:rPr>
      </w:pPr>
      <w:r w:rsidRPr="000301D3">
        <w:rPr>
          <w:lang w:val="da-DK"/>
        </w:rPr>
        <w:t>Ceban et al., 2022</w:t>
      </w:r>
    </w:p>
    <w:p w14:paraId="3ED7A33D" w14:textId="4744C1F2" w:rsidR="00614E8A" w:rsidRPr="000301D3" w:rsidRDefault="00614E8A" w:rsidP="00614E8A">
      <w:pPr>
        <w:jc w:val="both"/>
        <w:rPr>
          <w:lang w:val="da-DK"/>
        </w:rPr>
      </w:pPr>
      <w:r w:rsidRPr="000301D3">
        <w:rPr>
          <w:lang w:val="da-DK"/>
        </w:rPr>
        <w:t>Eysenck &amp; Brysbaert, 2018</w:t>
      </w:r>
    </w:p>
    <w:p w14:paraId="33D149D1" w14:textId="7F0995C9" w:rsidR="00614E8A" w:rsidRPr="000301D3" w:rsidRDefault="00614E8A" w:rsidP="00614E8A">
      <w:pPr>
        <w:jc w:val="both"/>
        <w:rPr>
          <w:lang w:val="da-DK"/>
        </w:rPr>
      </w:pPr>
      <w:r w:rsidRPr="000301D3">
        <w:rPr>
          <w:rFonts w:ascii="Times New Roman" w:hAnsi="Times New Roman" w:cs="Times New Roman"/>
          <w:sz w:val="24"/>
          <w:szCs w:val="24"/>
          <w:lang w:val="da-DK"/>
        </w:rPr>
        <w:t>Kwan et al., 2024</w:t>
      </w:r>
    </w:p>
    <w:p w14:paraId="2DF09BAD" w14:textId="0D85C249" w:rsidR="00614E8A" w:rsidRPr="000301D3" w:rsidRDefault="00614E8A" w:rsidP="00614E8A">
      <w:pPr>
        <w:jc w:val="both"/>
      </w:pPr>
      <w:r w:rsidRPr="000301D3">
        <w:t>Liu, Wang, Xin, Jiang &amp; Meng, 2024</w:t>
      </w:r>
    </w:p>
    <w:p w14:paraId="5F7B1D65" w14:textId="24D39CDC" w:rsidR="00614E8A" w:rsidRPr="000301D3" w:rsidRDefault="00614E8A" w:rsidP="00614E8A">
      <w:pPr>
        <w:jc w:val="both"/>
        <w:rPr>
          <w:rFonts w:ascii="Times New Roman" w:hAnsi="Times New Roman" w:cs="Times New Roman"/>
          <w:sz w:val="24"/>
          <w:szCs w:val="24"/>
        </w:rPr>
      </w:pPr>
      <w:r w:rsidRPr="000301D3">
        <w:rPr>
          <w:rFonts w:ascii="Times New Roman" w:hAnsi="Times New Roman" w:cs="Times New Roman"/>
          <w:sz w:val="24"/>
          <w:szCs w:val="24"/>
        </w:rPr>
        <w:t>Pais, Ruano, Carvalho &amp; Barros, 2020</w:t>
      </w:r>
    </w:p>
    <w:p w14:paraId="65356628" w14:textId="4C9CFC40" w:rsidR="00614E8A" w:rsidRPr="000301D3" w:rsidRDefault="00614E8A" w:rsidP="00614E8A">
      <w:pPr>
        <w:jc w:val="both"/>
        <w:rPr>
          <w:rFonts w:ascii="Times New Roman" w:hAnsi="Times New Roman" w:cs="Times New Roman"/>
          <w:sz w:val="24"/>
          <w:szCs w:val="24"/>
        </w:rPr>
      </w:pPr>
      <w:r w:rsidRPr="000301D3">
        <w:rPr>
          <w:rFonts w:ascii="Times New Roman" w:hAnsi="Times New Roman" w:cs="Times New Roman"/>
          <w:sz w:val="24"/>
          <w:szCs w:val="24"/>
        </w:rPr>
        <w:t>Schild, Scharfenberg, Kirchner et al., 2023).</w:t>
      </w:r>
    </w:p>
    <w:p w14:paraId="4DD985F3" w14:textId="310D7219" w:rsidR="00614E8A" w:rsidRDefault="00614E8A" w:rsidP="00614E8A">
      <w:pPr>
        <w:jc w:val="both"/>
        <w:rPr>
          <w:rFonts w:ascii="Times New Roman" w:hAnsi="Times New Roman" w:cs="Times New Roman"/>
          <w:sz w:val="24"/>
          <w:szCs w:val="24"/>
          <w:lang w:val="en-US"/>
        </w:rPr>
      </w:pPr>
      <w:r>
        <w:rPr>
          <w:rFonts w:ascii="Times New Roman" w:hAnsi="Times New Roman" w:cs="Times New Roman"/>
          <w:sz w:val="24"/>
          <w:szCs w:val="24"/>
          <w:lang w:val="en-US"/>
        </w:rPr>
        <w:t>WHO, 2021</w:t>
      </w:r>
    </w:p>
    <w:p w14:paraId="54AD3713" w14:textId="6FA7C7D7" w:rsidR="00614E8A" w:rsidRDefault="00614E8A" w:rsidP="00614E8A">
      <w:pPr>
        <w:jc w:val="both"/>
        <w:rPr>
          <w:rFonts w:ascii="Times New Roman" w:hAnsi="Times New Roman" w:cs="Times New Roman"/>
          <w:sz w:val="24"/>
          <w:szCs w:val="24"/>
          <w:lang w:val="en-US"/>
        </w:rPr>
      </w:pPr>
      <w:r w:rsidRPr="00991352">
        <w:rPr>
          <w:rFonts w:ascii="Times New Roman" w:hAnsi="Times New Roman" w:cs="Times New Roman"/>
          <w:sz w:val="24"/>
          <w:szCs w:val="24"/>
          <w:lang w:val="en-US"/>
        </w:rPr>
        <w:lastRenderedPageBreak/>
        <w:t>Davids et al., 2021</w:t>
      </w:r>
    </w:p>
    <w:p w14:paraId="73B1E10A" w14:textId="77777777" w:rsidR="009B3D8C" w:rsidRPr="000301D3" w:rsidRDefault="009B3D8C" w:rsidP="00614E8A">
      <w:pPr>
        <w:jc w:val="both"/>
        <w:rPr>
          <w:lang w:val="en-US"/>
        </w:rPr>
      </w:pPr>
    </w:p>
    <w:p w14:paraId="2534BD46" w14:textId="26307498" w:rsidR="00E13ED9" w:rsidRPr="00DC3324" w:rsidRDefault="00DC3324" w:rsidP="00DC3324">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Therefore subjective cognitive complains need to be taken seriously</w:t>
      </w:r>
    </w:p>
    <w:bookmarkStart w:id="23" w:name="_Hlk193961560"/>
    <w:p w14:paraId="44D0D682" w14:textId="1AC223A1" w:rsidR="0030152A" w:rsidRDefault="0030152A" w:rsidP="009B3D8C">
      <w:pPr>
        <w:spacing w:line="360" w:lineRule="auto"/>
        <w:rPr>
          <w:rFonts w:ascii="Times New Roman" w:hAnsi="Times New Roman" w:cs="Times New Roman"/>
          <w:sz w:val="24"/>
          <w:szCs w:val="24"/>
          <w:lang w:val="en-US"/>
        </w:rPr>
      </w:pPr>
      <w:r>
        <w:fldChar w:fldCharType="begin"/>
      </w:r>
      <w:r w:rsidRPr="000301D3">
        <w:rPr>
          <w:lang w:val="en-US"/>
        </w:rPr>
        <w:instrText xml:space="preserve"> HYPERLINK "https://pubmed.ncbi.nlm.nih.gov/?term=%22Gomzyakova%20N%22%5BAuthor%5D" </w:instrText>
      </w:r>
      <w:r>
        <w:fldChar w:fldCharType="separate"/>
      </w:r>
      <w:r w:rsidRPr="005848AD">
        <w:rPr>
          <w:rStyle w:val="name"/>
          <w:rFonts w:ascii="Times New Roman" w:hAnsi="Times New Roman" w:cs="Times New Roman"/>
          <w:sz w:val="24"/>
          <w:szCs w:val="24"/>
          <w:lang w:val="en-US"/>
        </w:rPr>
        <w:t>Gomzyakova</w:t>
      </w:r>
      <w:r>
        <w:rPr>
          <w:rStyle w:val="name"/>
          <w:rFonts w:ascii="Times New Roman" w:hAnsi="Times New Roman" w:cs="Times New Roman"/>
          <w:sz w:val="24"/>
          <w:szCs w:val="24"/>
          <w:lang w:val="en-US"/>
        </w:rPr>
        <w:fldChar w:fldCharType="end"/>
      </w:r>
      <w:r w:rsidRPr="005848AD">
        <w:rPr>
          <w:rFonts w:ascii="Times New Roman" w:hAnsi="Times New Roman" w:cs="Times New Roman"/>
          <w:sz w:val="24"/>
          <w:szCs w:val="24"/>
          <w:lang w:val="en-US"/>
        </w:rPr>
        <w:t xml:space="preserve">: </w:t>
      </w:r>
      <w:bookmarkEnd w:id="23"/>
      <w:r w:rsidRPr="005848AD">
        <w:rPr>
          <w:rFonts w:ascii="Times New Roman" w:hAnsi="Times New Roman" w:cs="Times New Roman"/>
          <w:sz w:val="24"/>
          <w:szCs w:val="24"/>
          <w:lang w:val="en-US"/>
        </w:rPr>
        <w:t>Cognitive impairment is one of the main factors that disrupt daily social functioning and quality of life.</w:t>
      </w:r>
    </w:p>
    <w:p w14:paraId="70A458CD" w14:textId="2B97C4C3" w:rsidR="009B3D8C" w:rsidRDefault="009B3D8C" w:rsidP="00614E8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Blackmon et </w:t>
      </w:r>
      <w:commentRangeStart w:id="24"/>
      <w:r>
        <w:rPr>
          <w:rFonts w:ascii="Times New Roman" w:hAnsi="Times New Roman" w:cs="Times New Roman"/>
          <w:sz w:val="24"/>
          <w:szCs w:val="24"/>
          <w:lang w:val="en-US"/>
        </w:rPr>
        <w:t xml:space="preserve">al. (2022): </w:t>
      </w:r>
      <w:commentRangeEnd w:id="24"/>
      <w:r>
        <w:rPr>
          <w:rStyle w:val="CommentReference"/>
          <w:rFonts w:ascii="Calibri" w:eastAsia="Calibri" w:hAnsi="Calibri" w:cs="Times New Roman"/>
          <w:kern w:val="3"/>
        </w:rPr>
        <w:commentReference w:id="24"/>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emphasize the importance of assessing both subjective</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and objective complaints in</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determining prevalence of</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cognitive impairment in recovering patients and research</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participants.</w:t>
      </w:r>
    </w:p>
    <w:p w14:paraId="4C15040D" w14:textId="77777777" w:rsidR="00DC3324" w:rsidRPr="00991352" w:rsidRDefault="00DC3324" w:rsidP="00DC3324">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Therefore, identifying early and reliable biomarkers for the detection of SCD is crucial for maintaining cognitive health and delay or prevent its progression to AD (Abdulrab &amp; Heun, 2008).</w:t>
      </w:r>
    </w:p>
    <w:p w14:paraId="5EC235FD" w14:textId="77777777" w:rsidR="009B3D8C" w:rsidRPr="000301D3" w:rsidRDefault="009B3D8C" w:rsidP="009B3D8C">
      <w:pPr>
        <w:spacing w:line="360" w:lineRule="auto"/>
        <w:rPr>
          <w:lang w:val="en-US"/>
        </w:rPr>
      </w:pPr>
      <w:r w:rsidRPr="000301D3">
        <w:rPr>
          <w:lang w:val="en-US"/>
        </w:rPr>
        <w:t>There is agreement that subjective impairments should be taken seriously, and that changes in experience and behavior not apparent to the clinician should be examined, evaluated, and documented.</w:t>
      </w:r>
    </w:p>
    <w:p w14:paraId="0FBFF4AE" w14:textId="3BAAC7C4" w:rsidR="006968A7" w:rsidRPr="006968A7" w:rsidRDefault="006968A7" w:rsidP="006968A7">
      <w:pPr>
        <w:autoSpaceDE w:val="0"/>
        <w:autoSpaceDN w:val="0"/>
        <w:adjustRightInd w:val="0"/>
        <w:spacing w:after="0" w:line="240" w:lineRule="auto"/>
        <w:rPr>
          <w:rFonts w:ascii="NimbusRomNo9L-Regu" w:eastAsia="NimbusRomNo9L-Regu" w:cs="NimbusRomNo9L-Regu"/>
          <w:sz w:val="24"/>
          <w:szCs w:val="24"/>
          <w:lang w:val="en-US"/>
        </w:rPr>
      </w:pPr>
      <w:r w:rsidRPr="006968A7">
        <w:rPr>
          <w:rFonts w:ascii="NimbusRomNo9L-Regu" w:eastAsia="NimbusRomNo9L-Regu" w:cs="NimbusRomNo9L-Regu"/>
          <w:sz w:val="24"/>
          <w:szCs w:val="24"/>
          <w:lang w:val="en-US"/>
        </w:rPr>
        <w:t>. EEG studies can play a role in identifying</w:t>
      </w:r>
    </w:p>
    <w:p w14:paraId="2E57BC8B" w14:textId="521A7A1F" w:rsidR="009B3D8C" w:rsidRPr="006968A7" w:rsidRDefault="006968A7" w:rsidP="006968A7">
      <w:pPr>
        <w:spacing w:line="360" w:lineRule="auto"/>
        <w:rPr>
          <w:rFonts w:ascii="Times New Roman" w:hAnsi="Times New Roman" w:cs="Times New Roman"/>
          <w:sz w:val="24"/>
          <w:szCs w:val="24"/>
          <w:lang w:val="en-US"/>
        </w:rPr>
      </w:pPr>
      <w:r w:rsidRPr="006968A7">
        <w:rPr>
          <w:rFonts w:ascii="NimbusRomNo9L-Regu" w:eastAsia="NimbusRomNo9L-Regu" w:cs="NimbusRomNo9L-Regu"/>
          <w:sz w:val="24"/>
          <w:szCs w:val="24"/>
          <w:lang w:val="en-US"/>
        </w:rPr>
        <w:t>abnormal brain signals and linking them to changes in behavior and perception.</w:t>
      </w:r>
    </w:p>
    <w:p w14:paraId="4522EFF3" w14:textId="77777777" w:rsidR="00084E78" w:rsidRPr="00084E78" w:rsidRDefault="00084E78" w:rsidP="00084E7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Discussion: Cecchetti: </w:t>
      </w:r>
      <w:r w:rsidRPr="00084E78">
        <w:rPr>
          <w:rFonts w:ascii="Times New Roman" w:hAnsi="Times New Roman" w:cs="Times New Roman"/>
          <w:sz w:val="24"/>
          <w:szCs w:val="24"/>
          <w:lang w:val="en-US"/>
        </w:rPr>
        <w:t>n alternative explanation for mental disorders after</w:t>
      </w:r>
    </w:p>
    <w:p w14:paraId="685C0F19"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COVID-19, and in particular for PTSD, might be searched</w:t>
      </w:r>
    </w:p>
    <w:p w14:paraId="2EBC1969"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in being clinically treated at home and in isolation. We were</w:t>
      </w:r>
    </w:p>
    <w:p w14:paraId="01279722"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indeed surprised to observe that, in our cohort, executive</w:t>
      </w:r>
    </w:p>
    <w:p w14:paraId="66DD997D"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dysfunctions and psychopathological disturbances were pre-</w:t>
      </w:r>
    </w:p>
    <w:p w14:paraId="5E563BB5"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sent in most of patients under 50 years of age. These patients</w:t>
      </w:r>
    </w:p>
    <w:p w14:paraId="2D3D7841"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were those clinically milder and that received medical care</w:t>
      </w:r>
    </w:p>
    <w:p w14:paraId="2A3B25DD"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at home for most of the disease time, not requiring mechan-</w:t>
      </w:r>
    </w:p>
    <w:p w14:paraId="3A28575E"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ical ventilation. Facing a disease like COVID-19 isolated</w:t>
      </w:r>
    </w:p>
    <w:p w14:paraId="38AC80F3"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at home, fearing possible complications in the absence of</w:t>
      </w:r>
    </w:p>
    <w:p w14:paraId="4CDBAEE9"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direct medical control and without a structured mental health</w:t>
      </w:r>
    </w:p>
    <w:p w14:paraId="22D2092C"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intervention, could have had an impact on their psychiatric</w:t>
      </w:r>
    </w:p>
    <w:p w14:paraId="1E36C8F1" w14:textId="6EB69F5E" w:rsidR="009B3D8C"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and cognitive functioning, as previously suggested [40]</w:t>
      </w:r>
    </w:p>
    <w:p w14:paraId="0487173D" w14:textId="77777777" w:rsidR="00BD5049" w:rsidRDefault="00BD5049" w:rsidP="00BD5049">
      <w:pPr>
        <w:jc w:val="both"/>
        <w:rPr>
          <w:rFonts w:ascii="Times New Roman" w:hAnsi="Times New Roman" w:cs="Times New Roman"/>
          <w:sz w:val="24"/>
          <w:szCs w:val="24"/>
          <w:lang w:val="en-US"/>
        </w:rPr>
      </w:pPr>
      <w:r w:rsidRPr="005848AD">
        <w:rPr>
          <w:rFonts w:ascii="Times New Roman" w:hAnsi="Times New Roman" w:cs="Times New Roman"/>
          <w:sz w:val="24"/>
          <w:szCs w:val="24"/>
          <w:lang w:val="en-US"/>
        </w:rPr>
        <w:t>For the purposes of this study, subjective cognitive decline is defined as a self-perceived cognitive decline in cognitively normal people [</w:t>
      </w:r>
      <w:hyperlink r:id="rId83" w:anchor="b31-2712-7672_2022_3_3_45" w:history="1">
        <w:r w:rsidRPr="005848AD">
          <w:rPr>
            <w:rStyle w:val="Hyperlink"/>
            <w:rFonts w:ascii="Times New Roman" w:hAnsi="Times New Roman" w:cs="Times New Roman"/>
            <w:sz w:val="24"/>
            <w:szCs w:val="24"/>
            <w:lang w:val="en-US"/>
          </w:rPr>
          <w:t>31</w:t>
        </w:r>
      </w:hyperlink>
      <w:r w:rsidRPr="005848AD">
        <w:rPr>
          <w:rFonts w:ascii="Times New Roman" w:hAnsi="Times New Roman" w:cs="Times New Roman"/>
          <w:sz w:val="24"/>
          <w:szCs w:val="24"/>
          <w:lang w:val="en-US"/>
        </w:rPr>
        <w:t xml:space="preserve">]. </w:t>
      </w:r>
      <w:commentRangeStart w:id="25"/>
      <w:r w:rsidRPr="000301D3">
        <w:rPr>
          <w:rFonts w:ascii="Times New Roman" w:hAnsi="Times New Roman" w:cs="Times New Roman"/>
          <w:sz w:val="24"/>
          <w:szCs w:val="24"/>
          <w:lang w:val="en-US"/>
        </w:rPr>
        <w:t xml:space="preserve">In line with this definition the sample was </w:t>
      </w:r>
      <w:r w:rsidRPr="000301D3">
        <w:rPr>
          <w:rFonts w:ascii="Times New Roman" w:hAnsi="Times New Roman" w:cs="Times New Roman"/>
          <w:sz w:val="24"/>
          <w:szCs w:val="24"/>
          <w:lang w:val="en-US"/>
        </w:rPr>
        <w:lastRenderedPageBreak/>
        <w:t>divided in two subgroups: those who complained about decreased cognitive functions and those who had no cognitive complaints.</w:t>
      </w:r>
      <w:commentRangeEnd w:id="25"/>
      <w:r w:rsidRPr="005848AD">
        <w:rPr>
          <w:rStyle w:val="CommentReference"/>
          <w:rFonts w:ascii="Times New Roman" w:eastAsia="Calibri" w:hAnsi="Times New Roman" w:cs="Times New Roman"/>
          <w:kern w:val="3"/>
          <w:sz w:val="24"/>
          <w:szCs w:val="24"/>
        </w:rPr>
        <w:commentReference w:id="25"/>
      </w:r>
      <w:r w:rsidRPr="000301D3">
        <w:rPr>
          <w:rFonts w:ascii="Times New Roman" w:hAnsi="Times New Roman" w:cs="Times New Roman"/>
          <w:sz w:val="24"/>
          <w:szCs w:val="24"/>
          <w:lang w:val="en-US"/>
        </w:rPr>
        <w:t xml:space="preserve"> </w:t>
      </w:r>
    </w:p>
    <w:p w14:paraId="4D9326B9" w14:textId="77777777" w:rsidR="00BD5049" w:rsidRPr="0068523F" w:rsidRDefault="00BD5049" w:rsidP="00BD5049">
      <w:pPr>
        <w:rPr>
          <w:lang w:val="en-US"/>
        </w:rPr>
      </w:pPr>
      <w:r w:rsidRPr="0068523F">
        <w:rPr>
          <w:lang w:val="en-US"/>
        </w:rPr>
        <w:t>This study analyzed the congruence of subjective and objective cognitive performance in a cohort of patients initially presenting with SCC or fatigue as part of PCS. To our knowledge, this is the first study to report domain-specific findings. Other factors that might influence subjective perception of cognition, such as depression, anxiety, sleep, quality of life, demographic variables, and personality factors, were taken into account (stolen from Schild et al. 2023).</w:t>
      </w:r>
    </w:p>
    <w:p w14:paraId="21415D74" w14:textId="77777777" w:rsidR="00BD5049" w:rsidRPr="0068523F" w:rsidRDefault="00BD5049" w:rsidP="00BD5049">
      <w:pPr>
        <w:spacing w:line="360" w:lineRule="auto"/>
        <w:rPr>
          <w:lang w:val="en-US"/>
        </w:rPr>
      </w:pPr>
      <w:r>
        <w:rPr>
          <w:rFonts w:ascii="Times New Roman" w:hAnsi="Times New Roman" w:cs="Times New Roman"/>
          <w:sz w:val="24"/>
          <w:szCs w:val="24"/>
          <w:lang w:val="en-US"/>
        </w:rPr>
        <w:t xml:space="preserve">Hasting et al. (2023): </w:t>
      </w:r>
      <w:r w:rsidRPr="0068523F">
        <w:rPr>
          <w:lang w:val="en-US"/>
        </w:rPr>
        <w:t>Cognitive screening using the MoCA failed to reliably detect the presence of cognitive deficits, as it mostly yielded results within the normal range. Moreover, elderly patients with mild cognitive impairment may have an increased risk of converting to dementia status (</w:t>
      </w:r>
      <w:hyperlink r:id="rId84" w:anchor="c34" w:history="1">
        <w:r w:rsidRPr="0068523F">
          <w:rPr>
            <w:rStyle w:val="Hyperlink"/>
            <w:lang w:val="en-US"/>
          </w:rPr>
          <w:t>Liu et al., 2021</w:t>
        </w:r>
      </w:hyperlink>
      <w:r w:rsidRPr="0068523F">
        <w:rPr>
          <w:lang w:val="en-US"/>
        </w:rPr>
        <w:t>).</w:t>
      </w:r>
    </w:p>
    <w:p w14:paraId="63AAE13D" w14:textId="77777777" w:rsidR="00BD5049" w:rsidRPr="0068523F" w:rsidRDefault="00BD5049" w:rsidP="00BD5049">
      <w:pPr>
        <w:rPr>
          <w:lang w:val="en-US"/>
        </w:rPr>
      </w:pPr>
      <w:commentRangeStart w:id="26"/>
      <w:r w:rsidRPr="0068523F">
        <w:rPr>
          <w:lang w:val="en-US"/>
        </w:rPr>
        <w:t>t “long/post-COVID syndrome” (hereinafter jointly referred to as PCS)</w:t>
      </w:r>
      <w:commentRangeEnd w:id="26"/>
      <w:r>
        <w:rPr>
          <w:rStyle w:val="CommentReference"/>
          <w:rFonts w:ascii="Calibri" w:eastAsia="Calibri" w:hAnsi="Calibri" w:cs="Times New Roman"/>
          <w:kern w:val="3"/>
        </w:rPr>
        <w:commentReference w:id="26"/>
      </w:r>
    </w:p>
    <w:p w14:paraId="5E601241" w14:textId="26A91FBB" w:rsidR="0030152A" w:rsidRDefault="0030152A" w:rsidP="00614E8A">
      <w:pPr>
        <w:jc w:val="both"/>
        <w:rPr>
          <w:rFonts w:ascii="Times New Roman" w:hAnsi="Times New Roman" w:cs="Times New Roman"/>
          <w:sz w:val="24"/>
          <w:szCs w:val="24"/>
          <w:lang w:val="en-US"/>
        </w:rPr>
      </w:pPr>
    </w:p>
    <w:p w14:paraId="413313CA" w14:textId="5F8AF177" w:rsidR="0030152A" w:rsidRDefault="0030152A" w:rsidP="00614E8A">
      <w:pPr>
        <w:jc w:val="both"/>
        <w:rPr>
          <w:rFonts w:ascii="Times New Roman" w:hAnsi="Times New Roman" w:cs="Times New Roman"/>
          <w:sz w:val="24"/>
          <w:szCs w:val="24"/>
          <w:lang w:val="en-US"/>
        </w:rPr>
      </w:pPr>
    </w:p>
    <w:p w14:paraId="705E4E33" w14:textId="6CEAF0E9" w:rsidR="0030152A" w:rsidRDefault="0030152A" w:rsidP="00614E8A">
      <w:pPr>
        <w:jc w:val="both"/>
        <w:rPr>
          <w:rFonts w:ascii="Times New Roman" w:hAnsi="Times New Roman" w:cs="Times New Roman"/>
          <w:sz w:val="24"/>
          <w:szCs w:val="24"/>
          <w:lang w:val="en-US"/>
        </w:rPr>
      </w:pPr>
    </w:p>
    <w:p w14:paraId="0C291A8D" w14:textId="1FEC4919" w:rsidR="0030152A" w:rsidRDefault="0030152A" w:rsidP="00614E8A">
      <w:pPr>
        <w:jc w:val="both"/>
        <w:rPr>
          <w:rFonts w:ascii="Times New Roman" w:hAnsi="Times New Roman" w:cs="Times New Roman"/>
          <w:sz w:val="24"/>
          <w:szCs w:val="24"/>
          <w:lang w:val="en-US"/>
        </w:rPr>
      </w:pPr>
    </w:p>
    <w:p w14:paraId="46BD0E90" w14:textId="77777777" w:rsidR="0030152A" w:rsidRPr="00614E8A" w:rsidRDefault="0030152A" w:rsidP="00614E8A">
      <w:pPr>
        <w:jc w:val="both"/>
        <w:rPr>
          <w:rFonts w:ascii="Times New Roman" w:hAnsi="Times New Roman" w:cs="Times New Roman"/>
          <w:sz w:val="24"/>
          <w:szCs w:val="24"/>
          <w:lang w:val="en-US"/>
        </w:rPr>
      </w:pPr>
    </w:p>
    <w:sectPr w:rsidR="0030152A" w:rsidRPr="00614E8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olf Hauffe" w:date="2025-03-28T05:35:00Z" w:initials="RH">
    <w:p w14:paraId="5B55122A" w14:textId="7E437E75" w:rsidR="00F66812" w:rsidRDefault="00F66812">
      <w:pPr>
        <w:pStyle w:val="CommentText"/>
      </w:pPr>
      <w:r>
        <w:rPr>
          <w:rStyle w:val="CommentReference"/>
        </w:rPr>
        <w:annotationRef/>
      </w:r>
      <w:r>
        <w:t>Perceived Cognitive Difficulties Scale (PCDS</w:t>
      </w:r>
    </w:p>
  </w:comment>
  <w:comment w:id="12" w:author="Rolf Hauffe" w:date="2025-03-28T06:01:00Z" w:initials="RH">
    <w:p w14:paraId="5F0D40ED" w14:textId="77777777" w:rsidR="00015223" w:rsidRDefault="00015223">
      <w:pPr>
        <w:pStyle w:val="CommentText"/>
      </w:pPr>
      <w:r>
        <w:rPr>
          <w:rStyle w:val="CommentReference"/>
        </w:rPr>
        <w:annotationRef/>
      </w:r>
      <w:r>
        <w:t>Major depressive disorder</w:t>
      </w:r>
    </w:p>
    <w:p w14:paraId="69E00A72" w14:textId="034A939B" w:rsidR="00015223" w:rsidRDefault="00015223">
      <w:pPr>
        <w:pStyle w:val="CommentText"/>
      </w:pPr>
    </w:p>
  </w:comment>
  <w:comment w:id="13" w:author="Rolf Hauffe" w:date="2025-03-28T06:48:00Z" w:initials="RH">
    <w:p w14:paraId="675278AF" w14:textId="77777777" w:rsidR="00E731C7" w:rsidRDefault="00E731C7" w:rsidP="00E731C7">
      <w:pPr>
        <w:pStyle w:val="CommentText"/>
      </w:pPr>
      <w:r>
        <w:rPr>
          <w:rStyle w:val="CommentReference"/>
        </w:rPr>
        <w:annotationRef/>
      </w:r>
      <w:r>
        <w:t>cortical current</w:t>
      </w:r>
    </w:p>
    <w:p w14:paraId="5F22C87C" w14:textId="61ECB969" w:rsidR="00E731C7" w:rsidRDefault="00E731C7" w:rsidP="00E731C7">
      <w:pPr>
        <w:pStyle w:val="CommentText"/>
      </w:pPr>
      <w:r>
        <w:t>source densities</w:t>
      </w:r>
    </w:p>
  </w:comment>
  <w:comment w:id="22" w:author="Rolf Hauffe" w:date="2025-03-28T08:23:00Z" w:initials="RH">
    <w:p w14:paraId="61A4C36D" w14:textId="184DE73E" w:rsidR="00DC4EF2" w:rsidRDefault="00DC4EF2">
      <w:pPr>
        <w:pStyle w:val="CommentText"/>
      </w:pPr>
      <w:r>
        <w:rPr>
          <w:rStyle w:val="CommentReference"/>
        </w:rPr>
        <w:annotationRef/>
      </w:r>
      <w:r>
        <w:t>bisschen falscheventuell</w:t>
      </w:r>
    </w:p>
  </w:comment>
  <w:comment w:id="24" w:author="Rolf Hauffe" w:date="2025-03-24T15:41:00Z" w:initials="RH">
    <w:p w14:paraId="71D5E45A" w14:textId="77777777" w:rsidR="009B3D8C" w:rsidRDefault="009B3D8C" w:rsidP="009B3D8C">
      <w:pPr>
        <w:pStyle w:val="CommentText"/>
      </w:pPr>
      <w:r>
        <w:rPr>
          <w:rStyle w:val="CommentReference"/>
        </w:rPr>
        <w:annotationRef/>
      </w:r>
      <w:r>
        <w:t>Maybe more for discussion</w:t>
      </w:r>
    </w:p>
  </w:comment>
  <w:comment w:id="25" w:author="Rolf Hauffe" w:date="2025-03-24T10:34:00Z" w:initials="RH">
    <w:p w14:paraId="2D8FC08C" w14:textId="77777777" w:rsidR="00BD5049" w:rsidRDefault="00BD5049" w:rsidP="00BD5049">
      <w:pPr>
        <w:pStyle w:val="CommentText"/>
      </w:pPr>
      <w:r>
        <w:rPr>
          <w:rStyle w:val="CommentReference"/>
        </w:rPr>
        <w:annotationRef/>
      </w:r>
      <w:r>
        <w:t>Method</w:t>
      </w:r>
    </w:p>
  </w:comment>
  <w:comment w:id="26" w:author="Rolf Hauffe" w:date="2025-03-24T12:08:00Z" w:initials="RH">
    <w:p w14:paraId="7EDA7719" w14:textId="77777777" w:rsidR="00BD5049" w:rsidRDefault="00BD5049" w:rsidP="00BD5049">
      <w:pPr>
        <w:pStyle w:val="CommentText"/>
      </w:pPr>
      <w:r>
        <w:rPr>
          <w:rStyle w:val="CommentReference"/>
        </w:rPr>
        <w:annotationRef/>
      </w:r>
      <w:r>
        <w:t>Method</w:t>
      </w:r>
    </w:p>
    <w:p w14:paraId="1E17FBC9" w14:textId="77777777" w:rsidR="00BD5049" w:rsidRDefault="00BD5049" w:rsidP="00BD504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55122A" w15:done="0"/>
  <w15:commentEx w15:paraId="69E00A72" w15:done="0"/>
  <w15:commentEx w15:paraId="5F22C87C" w15:done="0"/>
  <w15:commentEx w15:paraId="61A4C36D" w15:done="0"/>
  <w15:commentEx w15:paraId="71D5E45A" w15:done="0"/>
  <w15:commentEx w15:paraId="2D8FC08C" w15:done="0"/>
  <w15:commentEx w15:paraId="1E17FB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90B396" w16cex:dateUtc="2025-03-28T04:35:00Z"/>
  <w16cex:commentExtensible w16cex:durableId="2B90B9B4" w16cex:dateUtc="2025-03-28T05:01:00Z"/>
  <w16cex:commentExtensible w16cex:durableId="2B90C4C8" w16cex:dateUtc="2025-03-28T05:48:00Z"/>
  <w16cex:commentExtensible w16cex:durableId="2B90DB0D" w16cex:dateUtc="2025-03-28T07:23:00Z"/>
  <w16cex:commentExtensible w16cex:durableId="2B8BFB91" w16cex:dateUtc="2025-03-24T14:41:00Z"/>
  <w16cex:commentExtensible w16cex:durableId="2B8BB3C6" w16cex:dateUtc="2025-03-24T09:34:00Z"/>
  <w16cex:commentExtensible w16cex:durableId="2B8BC9C8" w16cex:dateUtc="2025-03-24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55122A" w16cid:durableId="2B90B396"/>
  <w16cid:commentId w16cid:paraId="69E00A72" w16cid:durableId="2B90B9B4"/>
  <w16cid:commentId w16cid:paraId="5F22C87C" w16cid:durableId="2B90C4C8"/>
  <w16cid:commentId w16cid:paraId="61A4C36D" w16cid:durableId="2B90DB0D"/>
  <w16cid:commentId w16cid:paraId="71D5E45A" w16cid:durableId="2B8BFB91"/>
  <w16cid:commentId w16cid:paraId="2D8FC08C" w16cid:durableId="2B8BB3C6"/>
  <w16cid:commentId w16cid:paraId="1E17FBC9" w16cid:durableId="2B8BC9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rtxr">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8A"/>
    <w:rsid w:val="00015223"/>
    <w:rsid w:val="000301D3"/>
    <w:rsid w:val="00050B40"/>
    <w:rsid w:val="00062909"/>
    <w:rsid w:val="00076AE4"/>
    <w:rsid w:val="00084E78"/>
    <w:rsid w:val="000C6ECC"/>
    <w:rsid w:val="00172A9A"/>
    <w:rsid w:val="00200D2D"/>
    <w:rsid w:val="00237D19"/>
    <w:rsid w:val="002560E8"/>
    <w:rsid w:val="002E28EC"/>
    <w:rsid w:val="002F5F82"/>
    <w:rsid w:val="0030152A"/>
    <w:rsid w:val="003234F4"/>
    <w:rsid w:val="003741A9"/>
    <w:rsid w:val="003B05D4"/>
    <w:rsid w:val="003B39D5"/>
    <w:rsid w:val="00423BFF"/>
    <w:rsid w:val="0043406D"/>
    <w:rsid w:val="004A6697"/>
    <w:rsid w:val="004B6294"/>
    <w:rsid w:val="004D5E30"/>
    <w:rsid w:val="00520338"/>
    <w:rsid w:val="0052071B"/>
    <w:rsid w:val="00575269"/>
    <w:rsid w:val="005A227E"/>
    <w:rsid w:val="005C5EAB"/>
    <w:rsid w:val="00611598"/>
    <w:rsid w:val="00614E8A"/>
    <w:rsid w:val="00637244"/>
    <w:rsid w:val="00642B51"/>
    <w:rsid w:val="006968A7"/>
    <w:rsid w:val="006C468E"/>
    <w:rsid w:val="006D36E5"/>
    <w:rsid w:val="006D7CAF"/>
    <w:rsid w:val="006F0057"/>
    <w:rsid w:val="00713A0A"/>
    <w:rsid w:val="0075122E"/>
    <w:rsid w:val="00802078"/>
    <w:rsid w:val="00803FC0"/>
    <w:rsid w:val="00815710"/>
    <w:rsid w:val="008206C5"/>
    <w:rsid w:val="008518C7"/>
    <w:rsid w:val="008F40C5"/>
    <w:rsid w:val="0092034F"/>
    <w:rsid w:val="009B3D8C"/>
    <w:rsid w:val="009E0F54"/>
    <w:rsid w:val="00A14D3E"/>
    <w:rsid w:val="00A32EB8"/>
    <w:rsid w:val="00AC119C"/>
    <w:rsid w:val="00AD784C"/>
    <w:rsid w:val="00B25221"/>
    <w:rsid w:val="00B32C89"/>
    <w:rsid w:val="00B3314F"/>
    <w:rsid w:val="00B33D96"/>
    <w:rsid w:val="00B4014C"/>
    <w:rsid w:val="00B62B2D"/>
    <w:rsid w:val="00BB3A82"/>
    <w:rsid w:val="00BC3983"/>
    <w:rsid w:val="00BD5049"/>
    <w:rsid w:val="00C02ECC"/>
    <w:rsid w:val="00C22052"/>
    <w:rsid w:val="00C672D1"/>
    <w:rsid w:val="00C74BCA"/>
    <w:rsid w:val="00CB2408"/>
    <w:rsid w:val="00CC0956"/>
    <w:rsid w:val="00D22A5F"/>
    <w:rsid w:val="00D475BF"/>
    <w:rsid w:val="00DC3324"/>
    <w:rsid w:val="00DC4EF2"/>
    <w:rsid w:val="00DD2041"/>
    <w:rsid w:val="00E13ED9"/>
    <w:rsid w:val="00E3403A"/>
    <w:rsid w:val="00E34DAE"/>
    <w:rsid w:val="00E46EB9"/>
    <w:rsid w:val="00E731C7"/>
    <w:rsid w:val="00E91D61"/>
    <w:rsid w:val="00EC4101"/>
    <w:rsid w:val="00EF6430"/>
    <w:rsid w:val="00F15DDD"/>
    <w:rsid w:val="00F21559"/>
    <w:rsid w:val="00F3635F"/>
    <w:rsid w:val="00F4497B"/>
    <w:rsid w:val="00F66812"/>
    <w:rsid w:val="00F76A00"/>
    <w:rsid w:val="00F87B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3C5A"/>
  <w15:chartTrackingRefBased/>
  <w15:docId w15:val="{D6252AD6-3A50-47A3-9448-372FC314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D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43406D"/>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CommentTextChar">
    <w:name w:val="Comment Text Char"/>
    <w:basedOn w:val="DefaultParagraphFont"/>
    <w:link w:val="CommentText"/>
    <w:rsid w:val="0043406D"/>
    <w:rPr>
      <w:rFonts w:ascii="Calibri" w:eastAsia="Calibri" w:hAnsi="Calibri" w:cs="Times New Roman"/>
      <w:kern w:val="3"/>
      <w:sz w:val="20"/>
      <w:szCs w:val="20"/>
    </w:rPr>
  </w:style>
  <w:style w:type="character" w:styleId="CommentReference">
    <w:name w:val="annotation reference"/>
    <w:basedOn w:val="DefaultParagraphFont"/>
    <w:rsid w:val="0043406D"/>
    <w:rPr>
      <w:sz w:val="16"/>
      <w:szCs w:val="16"/>
    </w:rPr>
  </w:style>
  <w:style w:type="character" w:styleId="Hyperlink">
    <w:name w:val="Hyperlink"/>
    <w:basedOn w:val="DefaultParagraphFont"/>
    <w:uiPriority w:val="99"/>
    <w:semiHidden/>
    <w:unhideWhenUsed/>
    <w:rsid w:val="0043406D"/>
    <w:rPr>
      <w:color w:val="0000FF"/>
      <w:u w:val="single"/>
    </w:rPr>
  </w:style>
  <w:style w:type="character" w:customStyle="1" w:styleId="name">
    <w:name w:val="name"/>
    <w:basedOn w:val="DefaultParagraphFont"/>
    <w:rsid w:val="0030152A"/>
  </w:style>
  <w:style w:type="character" w:styleId="Emphasis">
    <w:name w:val="Emphasis"/>
    <w:basedOn w:val="DefaultParagraphFont"/>
    <w:uiPriority w:val="20"/>
    <w:qFormat/>
    <w:rsid w:val="00200D2D"/>
    <w:rPr>
      <w:i/>
      <w:iCs/>
    </w:rPr>
  </w:style>
  <w:style w:type="character" w:customStyle="1" w:styleId="CommentReference1">
    <w:name w:val="Comment Reference1"/>
    <w:basedOn w:val="DefaultParagraphFont"/>
    <w:rsid w:val="00E13ED9"/>
    <w:rPr>
      <w:sz w:val="16"/>
      <w:szCs w:val="16"/>
    </w:rPr>
  </w:style>
  <w:style w:type="paragraph" w:customStyle="1" w:styleId="CommentText1">
    <w:name w:val="Comment Text1"/>
    <w:basedOn w:val="Normal"/>
    <w:rsid w:val="00E13ED9"/>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styleId="Strong">
    <w:name w:val="Strong"/>
    <w:basedOn w:val="DefaultParagraphFont"/>
    <w:rsid w:val="003B05D4"/>
    <w:rPr>
      <w:b/>
      <w:bCs/>
    </w:rPr>
  </w:style>
  <w:style w:type="paragraph" w:customStyle="1" w:styleId="Kommentartekst">
    <w:name w:val="Kommentartekst"/>
    <w:basedOn w:val="Normal"/>
    <w:rsid w:val="003B05D4"/>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DefaultParagraphFont"/>
    <w:rsid w:val="003B05D4"/>
    <w:rPr>
      <w:sz w:val="16"/>
      <w:szCs w:val="16"/>
    </w:rPr>
  </w:style>
  <w:style w:type="character" w:customStyle="1" w:styleId="cf01">
    <w:name w:val="cf01"/>
    <w:basedOn w:val="DefaultParagraphFont"/>
    <w:rsid w:val="000301D3"/>
    <w:rPr>
      <w:rFonts w:ascii="Segoe UI" w:hAnsi="Segoe UI" w:cs="Segoe UI" w:hint="default"/>
      <w:sz w:val="18"/>
      <w:szCs w:val="18"/>
    </w:rPr>
  </w:style>
  <w:style w:type="character" w:customStyle="1" w:styleId="cf11">
    <w:name w:val="cf11"/>
    <w:basedOn w:val="DefaultParagraphFont"/>
    <w:rsid w:val="000301D3"/>
    <w:rPr>
      <w:rFonts w:ascii="Segoe UI" w:hAnsi="Segoe UI" w:cs="Segoe UI" w:hint="default"/>
      <w:sz w:val="18"/>
      <w:szCs w:val="18"/>
    </w:rPr>
  </w:style>
  <w:style w:type="character" w:customStyle="1" w:styleId="cf21">
    <w:name w:val="cf21"/>
    <w:basedOn w:val="DefaultParagraphFont"/>
    <w:rsid w:val="000301D3"/>
    <w:rPr>
      <w:rFonts w:ascii="Segoe UI" w:hAnsi="Segoe UI" w:cs="Segoe UI" w:hint="default"/>
      <w:i/>
      <w:iCs/>
      <w:sz w:val="18"/>
      <w:szCs w:val="18"/>
    </w:rPr>
  </w:style>
  <w:style w:type="paragraph" w:styleId="CommentSubject">
    <w:name w:val="annotation subject"/>
    <w:basedOn w:val="CommentText"/>
    <w:next w:val="CommentText"/>
    <w:link w:val="CommentSubjectChar"/>
    <w:uiPriority w:val="99"/>
    <w:semiHidden/>
    <w:unhideWhenUsed/>
    <w:rsid w:val="00F66812"/>
    <w:pPr>
      <w:suppressAutoHyphens w:val="0"/>
      <w:autoSpaceDN/>
      <w:spacing w:after="160"/>
      <w:ind w:firstLine="0"/>
      <w:jc w:val="left"/>
      <w:textAlignment w:val="auto"/>
    </w:pPr>
    <w:rPr>
      <w:rFonts w:asciiTheme="minorHAnsi" w:eastAsiaTheme="minorHAnsi" w:hAnsiTheme="minorHAnsi" w:cstheme="minorBidi"/>
      <w:b/>
      <w:bCs/>
      <w:kern w:val="0"/>
    </w:rPr>
  </w:style>
  <w:style w:type="character" w:customStyle="1" w:styleId="CommentSubjectChar">
    <w:name w:val="Comment Subject Char"/>
    <w:basedOn w:val="CommentTextChar"/>
    <w:link w:val="CommentSubject"/>
    <w:uiPriority w:val="99"/>
    <w:semiHidden/>
    <w:rsid w:val="00F66812"/>
    <w:rPr>
      <w:rFonts w:ascii="Calibri" w:eastAsia="Calibri" w:hAnsi="Calibri" w:cs="Times New Roman"/>
      <w:b/>
      <w:bCs/>
      <w:kern w:val="3"/>
      <w:sz w:val="20"/>
      <w:szCs w:val="20"/>
    </w:rPr>
  </w:style>
  <w:style w:type="character" w:customStyle="1" w:styleId="anchor-text">
    <w:name w:val="anchor-text"/>
    <w:basedOn w:val="DefaultParagraphFont"/>
    <w:rsid w:val="00F15DDD"/>
  </w:style>
  <w:style w:type="character" w:customStyle="1" w:styleId="author-wrapper">
    <w:name w:val="author-wrapper"/>
    <w:basedOn w:val="DefaultParagraphFont"/>
    <w:rsid w:val="00015223"/>
  </w:style>
  <w:style w:type="character" w:customStyle="1" w:styleId="text">
    <w:name w:val="text"/>
    <w:basedOn w:val="DefaultParagraphFont"/>
    <w:rsid w:val="00AD7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mc.ncbi.nlm.nih.gov/articles/PMC10452696/" TargetMode="External"/><Relationship Id="rId18" Type="http://schemas.openxmlformats.org/officeDocument/2006/relationships/hyperlink" Target="https://pmc.ncbi.nlm.nih.gov/articles/PMC10452696/" TargetMode="External"/><Relationship Id="rId26" Type="http://schemas.openxmlformats.org/officeDocument/2006/relationships/hyperlink" Target="https://pmc.ncbi.nlm.nih.gov/articles/PMC10452696/" TargetMode="External"/><Relationship Id="rId39" Type="http://schemas.openxmlformats.org/officeDocument/2006/relationships/hyperlink" Target="https://pmc.ncbi.nlm.nih.gov/articles/PMC10452696/" TargetMode="External"/><Relationship Id="rId21" Type="http://schemas.openxmlformats.org/officeDocument/2006/relationships/hyperlink" Target="https://pmc.ncbi.nlm.nih.gov/articles/PMC10452696/" TargetMode="External"/><Relationship Id="rId34" Type="http://schemas.openxmlformats.org/officeDocument/2006/relationships/hyperlink" Target="https://pmc.ncbi.nlm.nih.gov/articles/PMC10452696/" TargetMode="External"/><Relationship Id="rId42" Type="http://schemas.openxmlformats.org/officeDocument/2006/relationships/hyperlink" Target="https://pmc.ncbi.nlm.nih.gov/articles/PMC10452696/" TargetMode="External"/><Relationship Id="rId47" Type="http://schemas.openxmlformats.org/officeDocument/2006/relationships/hyperlink" Target="https://pmc.ncbi.nlm.nih.gov/articles/PMC10452696/" TargetMode="External"/><Relationship Id="rId50" Type="http://schemas.openxmlformats.org/officeDocument/2006/relationships/hyperlink" Target="https://pmc.ncbi.nlm.nih.gov/articles/PMC10452696/" TargetMode="External"/><Relationship Id="rId55" Type="http://schemas.openxmlformats.org/officeDocument/2006/relationships/hyperlink" Target="https://pmc.ncbi.nlm.nih.gov/articles/PMC10452696/" TargetMode="External"/><Relationship Id="rId63" Type="http://schemas.openxmlformats.org/officeDocument/2006/relationships/hyperlink" Target="https://pmc.ncbi.nlm.nih.gov/articles/PMC10452696/" TargetMode="External"/><Relationship Id="rId68" Type="http://schemas.openxmlformats.org/officeDocument/2006/relationships/hyperlink" Target="https://www.sciencedirect.com/science/article/pii/S0022510X20306079" TargetMode="External"/><Relationship Id="rId76" Type="http://schemas.openxmlformats.org/officeDocument/2006/relationships/hyperlink" Target="https://www.sciencedirect.com/topics/medicine-and-dentistry/neuroinflammation" TargetMode="External"/><Relationship Id="rId84" Type="http://schemas.openxmlformats.org/officeDocument/2006/relationships/hyperlink" Target="https://econtent.hogrefe.com/doi/full/10.1024/1016-264X/a000376" TargetMode="External"/><Relationship Id="rId7" Type="http://schemas.openxmlformats.org/officeDocument/2006/relationships/hyperlink" Target="https://pmc.ncbi.nlm.nih.gov/articles/PMC10452696/" TargetMode="External"/><Relationship Id="rId71" Type="http://schemas.openxmlformats.org/officeDocument/2006/relationships/hyperlink" Target="https://www.sciencedirect.com/science/article/pii/S0022510X20306079" TargetMode="External"/><Relationship Id="rId2" Type="http://schemas.openxmlformats.org/officeDocument/2006/relationships/settings" Target="settings.xml"/><Relationship Id="rId16" Type="http://schemas.openxmlformats.org/officeDocument/2006/relationships/hyperlink" Target="https://pmc.ncbi.nlm.nih.gov/articles/PMC10452696/" TargetMode="External"/><Relationship Id="rId29" Type="http://schemas.openxmlformats.org/officeDocument/2006/relationships/hyperlink" Target="https://pmc.ncbi.nlm.nih.gov/articles/PMC10452696/" TargetMode="External"/><Relationship Id="rId11" Type="http://schemas.openxmlformats.org/officeDocument/2006/relationships/hyperlink" Target="https://pmc.ncbi.nlm.nih.gov/articles/PMC10452696/" TargetMode="External"/><Relationship Id="rId24" Type="http://schemas.openxmlformats.org/officeDocument/2006/relationships/hyperlink" Target="https://pmc.ncbi.nlm.nih.gov/articles/PMC10452696/" TargetMode="External"/><Relationship Id="rId32" Type="http://schemas.openxmlformats.org/officeDocument/2006/relationships/hyperlink" Target="https://pmc.ncbi.nlm.nih.gov/articles/PMC10452696/" TargetMode="External"/><Relationship Id="rId37" Type="http://schemas.openxmlformats.org/officeDocument/2006/relationships/hyperlink" Target="https://pmc.ncbi.nlm.nih.gov/articles/PMC10452696/" TargetMode="External"/><Relationship Id="rId40" Type="http://schemas.openxmlformats.org/officeDocument/2006/relationships/hyperlink" Target="https://pmc.ncbi.nlm.nih.gov/articles/PMC10452696/" TargetMode="External"/><Relationship Id="rId45" Type="http://schemas.openxmlformats.org/officeDocument/2006/relationships/hyperlink" Target="https://pmc.ncbi.nlm.nih.gov/articles/PMC10452696/" TargetMode="External"/><Relationship Id="rId53" Type="http://schemas.openxmlformats.org/officeDocument/2006/relationships/hyperlink" Target="https://pmc.ncbi.nlm.nih.gov/articles/PMC10452696/" TargetMode="External"/><Relationship Id="rId58" Type="http://schemas.openxmlformats.org/officeDocument/2006/relationships/hyperlink" Target="https://pmc.ncbi.nlm.nih.gov/articles/PMC10452696/" TargetMode="External"/><Relationship Id="rId66" Type="http://schemas.openxmlformats.org/officeDocument/2006/relationships/hyperlink" Target="https://www.sciencedirect.com/topics/neuroscience/dysexecutive-syndrome" TargetMode="External"/><Relationship Id="rId74" Type="http://schemas.openxmlformats.org/officeDocument/2006/relationships/hyperlink" Target="https://www.sciencedirect.com/topics/neuroscience/gaba-receptor" TargetMode="External"/><Relationship Id="rId79" Type="http://schemas.openxmlformats.org/officeDocument/2006/relationships/hyperlink" Target="https://www.sciencedirect.com/topics/biochemistry-genetics-and-molecular-biology/sleep-time" TargetMode="External"/><Relationship Id="rId87" Type="http://schemas.openxmlformats.org/officeDocument/2006/relationships/theme" Target="theme/theme1.xml"/><Relationship Id="rId5" Type="http://schemas.openxmlformats.org/officeDocument/2006/relationships/hyperlink" Target="https://pmc.ncbi.nlm.nih.gov/articles/PMC10452696/" TargetMode="External"/><Relationship Id="rId61" Type="http://schemas.microsoft.com/office/2016/09/relationships/commentsIds" Target="commentsIds.xml"/><Relationship Id="rId82" Type="http://schemas.openxmlformats.org/officeDocument/2006/relationships/hyperlink" Target="https://www.sciencedirect.com/topics/pharmacology-toxicology-and-pharmaceutical-science/hypoxemia" TargetMode="External"/><Relationship Id="rId19" Type="http://schemas.openxmlformats.org/officeDocument/2006/relationships/hyperlink" Target="https://pmc.ncbi.nlm.nih.gov/articles/PMC10452696/" TargetMode="External"/><Relationship Id="rId4" Type="http://schemas.openxmlformats.org/officeDocument/2006/relationships/hyperlink" Target="https://pmc.ncbi.nlm.nih.gov/articles/PMC10452696/" TargetMode="External"/><Relationship Id="rId9" Type="http://schemas.openxmlformats.org/officeDocument/2006/relationships/hyperlink" Target="https://pmc.ncbi.nlm.nih.gov/articles/PMC10452696/" TargetMode="External"/><Relationship Id="rId14" Type="http://schemas.openxmlformats.org/officeDocument/2006/relationships/hyperlink" Target="https://pmc.ncbi.nlm.nih.gov/articles/PMC10452696/" TargetMode="External"/><Relationship Id="rId22" Type="http://schemas.openxmlformats.org/officeDocument/2006/relationships/hyperlink" Target="https://pmc.ncbi.nlm.nih.gov/articles/PMC10452696/" TargetMode="External"/><Relationship Id="rId27" Type="http://schemas.openxmlformats.org/officeDocument/2006/relationships/hyperlink" Target="https://pmc.ncbi.nlm.nih.gov/articles/PMC10452696/" TargetMode="External"/><Relationship Id="rId30" Type="http://schemas.openxmlformats.org/officeDocument/2006/relationships/hyperlink" Target="https://pmc.ncbi.nlm.nih.gov/articles/PMC10452696/" TargetMode="External"/><Relationship Id="rId35" Type="http://schemas.openxmlformats.org/officeDocument/2006/relationships/hyperlink" Target="https://pmc.ncbi.nlm.nih.gov/articles/PMC10452696/" TargetMode="External"/><Relationship Id="rId43" Type="http://schemas.openxmlformats.org/officeDocument/2006/relationships/hyperlink" Target="https://pmc.ncbi.nlm.nih.gov/articles/PMC10452696/" TargetMode="External"/><Relationship Id="rId48" Type="http://schemas.openxmlformats.org/officeDocument/2006/relationships/hyperlink" Target="https://pmc.ncbi.nlm.nih.gov/articles/PMC10452696/" TargetMode="External"/><Relationship Id="rId56" Type="http://schemas.openxmlformats.org/officeDocument/2006/relationships/hyperlink" Target="https://pmc.ncbi.nlm.nih.gov/articles/PMC10452696/" TargetMode="External"/><Relationship Id="rId64" Type="http://schemas.openxmlformats.org/officeDocument/2006/relationships/hyperlink" Target="https://www.sciencedirect.com/topics/neuroscience/cognitive-disorders" TargetMode="External"/><Relationship Id="rId69" Type="http://schemas.openxmlformats.org/officeDocument/2006/relationships/hyperlink" Target="https://www.sciencedirect.com/topics/medicine-and-dentistry/motor-cortex" TargetMode="External"/><Relationship Id="rId77" Type="http://schemas.openxmlformats.org/officeDocument/2006/relationships/hyperlink" Target="https://www.sciencedirect.com/topics/neuroscience/sensorimotor-function" TargetMode="External"/><Relationship Id="rId8" Type="http://schemas.openxmlformats.org/officeDocument/2006/relationships/hyperlink" Target="https://pmc.ncbi.nlm.nih.gov/articles/PMC10452696/" TargetMode="External"/><Relationship Id="rId51" Type="http://schemas.openxmlformats.org/officeDocument/2006/relationships/hyperlink" Target="https://pmc.ncbi.nlm.nih.gov/articles/PMC10452696/" TargetMode="External"/><Relationship Id="rId72" Type="http://schemas.openxmlformats.org/officeDocument/2006/relationships/hyperlink" Target="https://www.sciencedirect.com/topics/neuroscience/cholinergic-activity" TargetMode="External"/><Relationship Id="rId80" Type="http://schemas.openxmlformats.org/officeDocument/2006/relationships/hyperlink" Target="https://www.sciencedirect.com/topics/medicine-and-dentistry/sleep-onset-latency"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pmc.ncbi.nlm.nih.gov/articles/PMC10452696/" TargetMode="External"/><Relationship Id="rId17" Type="http://schemas.openxmlformats.org/officeDocument/2006/relationships/hyperlink" Target="https://pmc.ncbi.nlm.nih.gov/articles/PMC10452696/" TargetMode="External"/><Relationship Id="rId25" Type="http://schemas.openxmlformats.org/officeDocument/2006/relationships/hyperlink" Target="https://pmc.ncbi.nlm.nih.gov/articles/PMC10452696/" TargetMode="External"/><Relationship Id="rId33" Type="http://schemas.openxmlformats.org/officeDocument/2006/relationships/hyperlink" Target="https://pmc.ncbi.nlm.nih.gov/articles/PMC10452696/" TargetMode="External"/><Relationship Id="rId38" Type="http://schemas.openxmlformats.org/officeDocument/2006/relationships/hyperlink" Target="https://pmc.ncbi.nlm.nih.gov/articles/PMC10452696/" TargetMode="External"/><Relationship Id="rId46" Type="http://schemas.openxmlformats.org/officeDocument/2006/relationships/hyperlink" Target="https://pmc.ncbi.nlm.nih.gov/articles/PMC10452696/" TargetMode="External"/><Relationship Id="rId59" Type="http://schemas.openxmlformats.org/officeDocument/2006/relationships/comments" Target="comments.xml"/><Relationship Id="rId67" Type="http://schemas.openxmlformats.org/officeDocument/2006/relationships/hyperlink" Target="https://www.sciencedirect.com/topics/medicine-and-dentistry/degenerative-disease" TargetMode="External"/><Relationship Id="rId20" Type="http://schemas.openxmlformats.org/officeDocument/2006/relationships/hyperlink" Target="https://pmc.ncbi.nlm.nih.gov/articles/PMC10452696/" TargetMode="External"/><Relationship Id="rId41" Type="http://schemas.openxmlformats.org/officeDocument/2006/relationships/hyperlink" Target="https://pmc.ncbi.nlm.nih.gov/articles/PMC10452696/" TargetMode="External"/><Relationship Id="rId54" Type="http://schemas.openxmlformats.org/officeDocument/2006/relationships/hyperlink" Target="https://pmc.ncbi.nlm.nih.gov/articles/PMC10452696/" TargetMode="External"/><Relationship Id="rId62" Type="http://schemas.microsoft.com/office/2018/08/relationships/commentsExtensible" Target="commentsExtensible.xml"/><Relationship Id="rId70" Type="http://schemas.openxmlformats.org/officeDocument/2006/relationships/hyperlink" Target="https://www.sciencedirect.com/topics/neuroscience/agonist" TargetMode="External"/><Relationship Id="rId75" Type="http://schemas.openxmlformats.org/officeDocument/2006/relationships/hyperlink" Target="https://www.sciencedirect.com/topics/medicine-and-dentistry/synaptic-inhibition" TargetMode="External"/><Relationship Id="rId83" Type="http://schemas.openxmlformats.org/officeDocument/2006/relationships/hyperlink" Target="https://pmc.ncbi.nlm.nih.gov/articles/PMC11262122/" TargetMode="External"/><Relationship Id="rId1" Type="http://schemas.openxmlformats.org/officeDocument/2006/relationships/styles" Target="styles.xml"/><Relationship Id="rId6" Type="http://schemas.openxmlformats.org/officeDocument/2006/relationships/hyperlink" Target="https://pmc.ncbi.nlm.nih.gov/articles/PMC10452696/" TargetMode="External"/><Relationship Id="rId15" Type="http://schemas.openxmlformats.org/officeDocument/2006/relationships/hyperlink" Target="https://pmc.ncbi.nlm.nih.gov/articles/PMC10452696/" TargetMode="External"/><Relationship Id="rId23" Type="http://schemas.openxmlformats.org/officeDocument/2006/relationships/hyperlink" Target="https://pmc.ncbi.nlm.nih.gov/articles/PMC10452696/" TargetMode="External"/><Relationship Id="rId28" Type="http://schemas.openxmlformats.org/officeDocument/2006/relationships/hyperlink" Target="https://pmc.ncbi.nlm.nih.gov/articles/PMC10452696/" TargetMode="External"/><Relationship Id="rId36" Type="http://schemas.openxmlformats.org/officeDocument/2006/relationships/hyperlink" Target="https://pmc.ncbi.nlm.nih.gov/articles/PMC10452696/" TargetMode="External"/><Relationship Id="rId49" Type="http://schemas.openxmlformats.org/officeDocument/2006/relationships/hyperlink" Target="https://pmc.ncbi.nlm.nih.gov/articles/PMC10452696/" TargetMode="External"/><Relationship Id="rId57" Type="http://schemas.openxmlformats.org/officeDocument/2006/relationships/hyperlink" Target="https://pmc.ncbi.nlm.nih.gov/articles/PMC10452696/" TargetMode="External"/><Relationship Id="rId10" Type="http://schemas.openxmlformats.org/officeDocument/2006/relationships/hyperlink" Target="https://pmc.ncbi.nlm.nih.gov/articles/PMC10452696/" TargetMode="External"/><Relationship Id="rId31" Type="http://schemas.openxmlformats.org/officeDocument/2006/relationships/hyperlink" Target="https://pmc.ncbi.nlm.nih.gov/articles/PMC10452696/" TargetMode="External"/><Relationship Id="rId44" Type="http://schemas.openxmlformats.org/officeDocument/2006/relationships/hyperlink" Target="https://pmc.ncbi.nlm.nih.gov/articles/PMC10452696/" TargetMode="External"/><Relationship Id="rId52" Type="http://schemas.openxmlformats.org/officeDocument/2006/relationships/hyperlink" Target="https://pmc.ncbi.nlm.nih.gov/articles/PMC10452696/" TargetMode="External"/><Relationship Id="rId60" Type="http://schemas.microsoft.com/office/2011/relationships/commentsExtended" Target="commentsExtended.xml"/><Relationship Id="rId65" Type="http://schemas.openxmlformats.org/officeDocument/2006/relationships/hyperlink" Target="https://www.sciencedirect.com/topics/medicine-and-dentistry/dysexecutive-syndrome" TargetMode="External"/><Relationship Id="rId73" Type="http://schemas.openxmlformats.org/officeDocument/2006/relationships/hyperlink" Target="https://www.sciencedirect.com/topics/neuroscience/neurotoxicity" TargetMode="External"/><Relationship Id="rId78" Type="http://schemas.openxmlformats.org/officeDocument/2006/relationships/hyperlink" Target="https://www.sciencedirect.com/science/article/pii/S2213158213000909" TargetMode="External"/><Relationship Id="rId81" Type="http://schemas.openxmlformats.org/officeDocument/2006/relationships/hyperlink" Target="https://www.sciencedirect.com/topics/neuroscience/rapid-eye-movement-sleep" TargetMode="External"/><Relationship Id="rId86"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6696</Words>
  <Characters>42191</Characters>
  <Application>Microsoft Office Word</Application>
  <DocSecurity>0</DocSecurity>
  <Lines>351</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Janka Hauffe</cp:lastModifiedBy>
  <cp:revision>32</cp:revision>
  <dcterms:created xsi:type="dcterms:W3CDTF">2025-03-26T22:56:00Z</dcterms:created>
  <dcterms:modified xsi:type="dcterms:W3CDTF">2025-03-28T12:01:00Z</dcterms:modified>
</cp:coreProperties>
</file>