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commentRangeStart w:id="0"/>
      <w:r w:rsidRPr="00991352">
        <w:rPr>
          <w:rStyle w:val="Standardskrifttypeiafsnit"/>
          <w:rFonts w:ascii="Times New Roman" w:hAnsi="Times New Roman" w:cs="Times New Roman"/>
          <w:b/>
          <w:bCs/>
          <w:sz w:val="24"/>
          <w:szCs w:val="24"/>
          <w:lang w:val="en-US"/>
        </w:rPr>
        <w:t>Introduction</w:t>
      </w:r>
      <w:commentRangeEnd w:id="0"/>
      <w:r w:rsidRPr="00991352">
        <w:rPr>
          <w:rStyle w:val="Kommentarhenvisning"/>
          <w:rFonts w:ascii="Times New Roman" w:hAnsi="Times New Roman" w:cs="Times New Roman"/>
          <w:sz w:val="24"/>
          <w:szCs w:val="24"/>
        </w:rPr>
        <w:commentReference w:id="0"/>
      </w:r>
    </w:p>
    <w:p w14:paraId="4257108B" w14:textId="1AF8777C" w:rsidR="001764A3" w:rsidRPr="00991352" w:rsidRDefault="00FE3D8D" w:rsidP="00991352">
      <w:pPr>
        <w:pStyle w:val="NormalWeb"/>
        <w:spacing w:line="360" w:lineRule="auto"/>
        <w:rPr>
          <w:lang w:val="en-US"/>
        </w:rPr>
      </w:pPr>
      <w:r>
        <w:rPr>
          <w:lang w:val="en-US"/>
        </w:rPr>
        <w:t>Most of us have, at some point, experienced moments of disorientation, trouble concentrating, or forgetting simple tasks.</w:t>
      </w:r>
      <w:r w:rsidR="001764A3" w:rsidRPr="00991352">
        <w:rPr>
          <w:lang w:val="en-US"/>
        </w:rPr>
        <w:t xml:space="preserve"> For many individuals recovering from COVID-19, </w:t>
      </w:r>
      <w:r>
        <w:rPr>
          <w:lang w:val="en-US"/>
        </w:rPr>
        <w:t xml:space="preserve">however, </w:t>
      </w:r>
      <w:r w:rsidR="001764A3" w:rsidRPr="00991352">
        <w:rPr>
          <w:lang w:val="en-US"/>
        </w:rPr>
        <w:t>this mental cloudiness</w:t>
      </w:r>
      <w:r w:rsidR="00493AAB">
        <w:rPr>
          <w:lang w:val="en-US"/>
        </w:rPr>
        <w:t xml:space="preserve"> </w:t>
      </w:r>
      <w:commentRangeStart w:id="1"/>
      <w:commentRangeStart w:id="2"/>
      <w:r>
        <w:rPr>
          <w:lang w:val="en-US"/>
        </w:rPr>
        <w:t>is more than a fleeting inconvenience.</w:t>
      </w:r>
      <w:r w:rsidR="00493AAB">
        <w:rPr>
          <w:lang w:val="en-US"/>
        </w:rPr>
        <w:t xml:space="preserve"> It</w:t>
      </w:r>
      <w:r w:rsidR="001764A3" w:rsidRPr="00991352">
        <w:rPr>
          <w:lang w:val="en-US"/>
        </w:rPr>
        <w:t xml:space="preserve"> </w:t>
      </w:r>
      <w:commentRangeEnd w:id="1"/>
      <w:r w:rsidR="001764A3" w:rsidRPr="00991352">
        <w:rPr>
          <w:rStyle w:val="CommentReference1"/>
          <w:rFonts w:eastAsia="Calibri"/>
          <w:kern w:val="3"/>
          <w:sz w:val="24"/>
          <w:szCs w:val="24"/>
          <w:lang w:eastAsia="en-US"/>
        </w:rPr>
        <w:commentReference w:id="1"/>
      </w:r>
      <w:commentRangeEnd w:id="2"/>
      <w:r w:rsidR="001764A3" w:rsidRPr="00991352">
        <w:rPr>
          <w:rStyle w:val="CommentReference"/>
          <w:rFonts w:eastAsia="Calibri"/>
          <w:kern w:val="3"/>
          <w:sz w:val="24"/>
          <w:szCs w:val="24"/>
          <w:lang w:eastAsia="en-US"/>
        </w:rPr>
        <w:commentReference w:id="2"/>
      </w:r>
      <w:r w:rsidR="001764A3" w:rsidRPr="00991352">
        <w:rPr>
          <w:lang w:val="en-US"/>
        </w:rPr>
        <w:t>is a persistent reminder of their illness. These cognitive challenges, along with fatigue and other lingering symptoms, continue to affect their daily lives long after the infection has passed.</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3" w:name="_Hlk193925840"/>
      <w:r w:rsidRPr="00991352">
        <w:rPr>
          <w:lang w:val="en-US"/>
        </w:rPr>
        <w:t xml:space="preserve">Birle et al., 2020) </w:t>
      </w:r>
      <w:bookmarkEnd w:id="3"/>
      <w:r w:rsidRPr="00991352">
        <w:rPr>
          <w:lang w:val="en-US"/>
        </w:rPr>
        <w:t>and is defined as “the mental action or process of acquiring knowledge and understanding through thought, experience, and the senses” (</w:t>
      </w:r>
      <w:bookmarkStart w:id="4" w:name="_Hlk193925851"/>
      <w:r w:rsidRPr="00991352">
        <w:rPr>
          <w:lang w:val="en-US"/>
        </w:rPr>
        <w:t>Cambridge Cognition, 2015</w:t>
      </w:r>
      <w:bookmarkEnd w:id="4"/>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But what happens when these vital cognitive abilities begin to</w:t>
      </w:r>
      <w:commentRangeStart w:id="7"/>
      <w:r w:rsidRPr="00991352">
        <w:rPr>
          <w:rFonts w:ascii="Times New Roman" w:hAnsi="Times New Roman" w:cs="Times New Roman"/>
          <w:sz w:val="24"/>
          <w:szCs w:val="24"/>
          <w:lang w:val="en-US"/>
        </w:rPr>
        <w:t xml:space="preserve"> decline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commentRangeStart w:id="8"/>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9"/>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9"/>
      <w:r w:rsidRPr="00991352">
        <w:rPr>
          <w:rStyle w:val="CommentReference1"/>
          <w:rFonts w:ascii="Times New Roman" w:hAnsi="Times New Roman" w:cs="Times New Roman"/>
          <w:sz w:val="24"/>
          <w:szCs w:val="24"/>
        </w:rPr>
        <w:commentReference w:id="9"/>
      </w:r>
      <w:r w:rsidRPr="00991352">
        <w:rPr>
          <w:rFonts w:ascii="Times New Roman" w:hAnsi="Times New Roman" w:cs="Times New Roman"/>
          <w:sz w:val="24"/>
          <w:szCs w:val="24"/>
          <w:lang w:val="en-US"/>
        </w:rPr>
        <w:t xml:space="preserve">. </w:t>
      </w:r>
    </w:p>
    <w:p w14:paraId="1EA7BB98"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This thesis focuses on cognitive decline in individuals experiencing Post COVID-19 Syndrome and its </w:t>
      </w:r>
      <w:commentRangeStart w:id="10"/>
      <w:r w:rsidRPr="00991352">
        <w:rPr>
          <w:rFonts w:ascii="Times New Roman" w:hAnsi="Times New Roman" w:cs="Times New Roman"/>
          <w:sz w:val="24"/>
          <w:szCs w:val="24"/>
          <w:lang w:val="en-US"/>
        </w:rPr>
        <w:t>impact on their general well-being</w:t>
      </w:r>
      <w:commentRangeEnd w:id="10"/>
      <w:r w:rsidRPr="00991352">
        <w:rPr>
          <w:rStyle w:val="CommentReference"/>
          <w:rFonts w:ascii="Times New Roman" w:hAnsi="Times New Roman" w:cs="Times New Roman"/>
          <w:sz w:val="24"/>
          <w:szCs w:val="24"/>
        </w:rPr>
        <w:commentReference w:id="10"/>
      </w:r>
      <w:r w:rsidRPr="00991352">
        <w:rPr>
          <w:rFonts w:ascii="Times New Roman" w:hAnsi="Times New Roman" w:cs="Times New Roman"/>
          <w:sz w:val="24"/>
          <w:szCs w:val="24"/>
          <w:lang w:val="en-US"/>
        </w:rPr>
        <w:t xml:space="preserve">. To fully understand this phenomenon, an overview of  COVID-19 and its association with cognitive impairment in Post-COVID-19 Syndrome is first provided. Then, the distinction between subjective cognitive decline and objective cognitive impairment is explained. Next, the role of electroencephalography (EEG) </w:t>
      </w:r>
      <w:r w:rsidRPr="00991352">
        <w:rPr>
          <w:rFonts w:ascii="Times New Roman" w:hAnsi="Times New Roman" w:cs="Times New Roman"/>
          <w:sz w:val="24"/>
          <w:szCs w:val="24"/>
          <w:lang w:val="en-US"/>
        </w:rPr>
        <w:lastRenderedPageBreak/>
        <w:t>as a neurophysiological tool for assessing cognitive function is introduced. Following this, existing EEG research on subjective and objective cognitive impairment, as well as its application in Post-COVID-19 Syndrome, is reviewed. Finally, the specific aim of this thesis is introduced, which is to explore how differences in objective cognitive performance after SARS-CoV-2 infection relate to self-reported cognitive impairment, general well-being, and EEG alterations in individuals with and without Post-COVID-19.</w:t>
      </w:r>
      <w:commentRangeEnd w:id="8"/>
      <w:r w:rsidR="005E7177">
        <w:rPr>
          <w:rStyle w:val="CommentReference"/>
          <w:rFonts w:ascii="Calibri" w:eastAsia="Calibri" w:hAnsi="Calibri" w:cs="Times New Roman"/>
          <w:kern w:val="3"/>
        </w:rPr>
        <w:commentReference w:id="8"/>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deaths </w:t>
      </w:r>
      <w:r w:rsidRPr="00991352">
        <w:rPr>
          <w:rFonts w:ascii="Times New Roman" w:hAnsi="Times New Roman" w:cs="Times New Roman"/>
          <w:sz w:val="24"/>
          <w:szCs w:val="24"/>
          <w:shd w:val="clear" w:color="auto" w:fill="FFFF00"/>
          <w:lang w:val="en-US"/>
        </w:rPr>
        <w:t>Quelle</w:t>
      </w:r>
      <w:r w:rsidRPr="00991352">
        <w:rPr>
          <w:rFonts w:ascii="Times New Roman" w:hAnsi="Times New Roman" w:cs="Times New Roman"/>
          <w:sz w:val="24"/>
          <w:szCs w:val="24"/>
          <w:lang w:val="en-US"/>
        </w:rPr>
        <w:t xml:space="preserve">. The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029D7141"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68523F">
        <w:rPr>
          <w:rFonts w:ascii="Times New Roman" w:hAnsi="Times New Roman" w:cs="Times New Roman"/>
          <w:sz w:val="24"/>
          <w:szCs w:val="24"/>
          <w:lang w:val="da-DK"/>
        </w:rPr>
        <w:t>Among the most frequently reported cognitive symptoms are lack of concentration</w:t>
      </w:r>
      <w:r w:rsidR="00653B55" w:rsidRPr="0068523F">
        <w:rPr>
          <w:rFonts w:ascii="Times New Roman" w:hAnsi="Times New Roman" w:cs="Times New Roman"/>
          <w:sz w:val="24"/>
          <w:szCs w:val="24"/>
          <w:lang w:val="da-DK"/>
        </w:rPr>
        <w:t>, attention difficulties</w:t>
      </w:r>
      <w:r w:rsidR="00011C0A" w:rsidRPr="0068523F">
        <w:rPr>
          <w:rFonts w:ascii="Times New Roman" w:hAnsi="Times New Roman" w:cs="Times New Roman"/>
          <w:sz w:val="24"/>
          <w:szCs w:val="24"/>
          <w:lang w:val="da-DK"/>
        </w:rPr>
        <w:t xml:space="preserve"> and memory loss (Amin-Chowdhury et al.; Buonsenso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Cirulli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Darley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Elkan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Fern´andez-de-Las-Pe˜nas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Ferrucci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Garrigues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Gonzalez-Hermosillo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Leth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r w:rsidR="00653B55" w:rsidRPr="0068523F">
        <w:rPr>
          <w:rFonts w:ascii="Times New Roman" w:hAnsi="Times New Roman" w:cs="Times New Roman"/>
          <w:sz w:val="24"/>
          <w:szCs w:val="24"/>
          <w:lang w:val="da-DK"/>
        </w:rPr>
        <w:t xml:space="preserve">Mattioli et al.; </w:t>
      </w:r>
      <w:r w:rsidR="00011C0A" w:rsidRPr="0068523F">
        <w:rPr>
          <w:rFonts w:ascii="Times New Roman" w:hAnsi="Times New Roman" w:cs="Times New Roman"/>
          <w:sz w:val="24"/>
          <w:szCs w:val="24"/>
          <w:lang w:val="da-DK"/>
        </w:rPr>
        <w:t>Morin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Munblit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Pereira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Pilotto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Rass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Rauch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Soraas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Sykes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Woo et al.).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 Bland et al. 2024; Darley et al.; Ferrucci et al; Fortini et al.; Kwan et al., 2024; Morin et al.; Woo et al.)</w:t>
      </w:r>
      <w:r w:rsidR="00F7292F" w:rsidRPr="00EF7A69">
        <w:rPr>
          <w:rFonts w:ascii="Times New Roman" w:hAnsi="Times New Roman" w:cs="Times New Roman"/>
          <w:sz w:val="24"/>
          <w:szCs w:val="24"/>
          <w:lang w:val="en-US"/>
        </w:rPr>
        <w:t xml:space="preserve">. </w:t>
      </w:r>
      <w:commentRangeStart w:id="11"/>
      <w:r w:rsidR="00F7292F" w:rsidRPr="00EF7A69">
        <w:rPr>
          <w:rFonts w:ascii="Times New Roman" w:hAnsi="Times New Roman" w:cs="Times New Roman"/>
          <w:sz w:val="24"/>
          <w:szCs w:val="24"/>
          <w:lang w:val="en-US"/>
        </w:rPr>
        <w:t>These symptoms 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re</w:t>
      </w:r>
      <w:r w:rsidR="00F7292F" w:rsidRPr="00EF7A69">
        <w:rPr>
          <w:rFonts w:ascii="Times New Roman" w:hAnsi="Times New Roman" w:cs="Times New Roman"/>
          <w:sz w:val="24"/>
          <w:szCs w:val="24"/>
          <w:lang w:val="en-US"/>
        </w:rPr>
        <w:t xml:space="preserve"> </w:t>
      </w:r>
      <w:r w:rsidR="005C7593" w:rsidRPr="00EF7A69">
        <w:rPr>
          <w:rFonts w:ascii="Times New Roman" w:hAnsi="Times New Roman" w:cs="Times New Roman"/>
          <w:sz w:val="24"/>
          <w:szCs w:val="24"/>
          <w:lang w:val="en-US"/>
        </w:rPr>
        <w:lastRenderedPageBreak/>
        <w:t>term used to express mental cloudiness, slowed thinking, and cognitive fatigue (Amin-Chowdhury et al., Bland et al., 2024; Fortini et al.; Kwan et al., 2024; Widmann et al., 2023).</w:t>
      </w:r>
      <w:commentRangeEnd w:id="11"/>
      <w:r w:rsidR="005C7593" w:rsidRPr="00EF7A69">
        <w:rPr>
          <w:rStyle w:val="CommentReference"/>
          <w:rFonts w:ascii="Times New Roman" w:eastAsia="Calibri" w:hAnsi="Times New Roman" w:cs="Times New Roman"/>
          <w:kern w:val="3"/>
          <w:sz w:val="24"/>
          <w:szCs w:val="24"/>
        </w:rPr>
        <w:commentReference w:id="11"/>
      </w:r>
    </w:p>
    <w:p w14:paraId="6D0E8009" w14:textId="6197CE52"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 xml:space="preserve">(Becker et al., 2021; Damiano et al., 2022; Delgado-Alonso; Ferrucci et al., 2021; </w:t>
      </w:r>
      <w:r w:rsidRPr="0068523F">
        <w:rPr>
          <w:rFonts w:ascii="Times New Roman" w:hAnsi="Times New Roman" w:cs="Times New Roman"/>
          <w:sz w:val="24"/>
          <w:szCs w:val="24"/>
          <w:lang w:val="en-US"/>
        </w:rPr>
        <w:t xml:space="preserve">García-Sánchez;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27A6B34B"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 xml:space="preserve">and the Brief Repeatable Battery of Neuropsychological Tests (BRB-NT) (Leth et al., 2021; Mattioli et al.; Morin et al., 2021; Pilotto et al., 2021; Miskowiak et al., 2021; Becker et al., 2021; </w:t>
      </w:r>
      <w:r w:rsidR="00145EF6" w:rsidRPr="0068523F">
        <w:rPr>
          <w:rFonts w:ascii="Times New Roman" w:hAnsi="Times New Roman" w:cs="Times New Roman"/>
          <w:sz w:val="24"/>
          <w:szCs w:val="24"/>
          <w:lang w:val="en-US"/>
        </w:rPr>
        <w:t>García-Sánchez, Evans et al., 2021;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6643CF8F"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While some studies have found that PCS patients perform worse on these assessment tools (Clemente et al., 2023; Cecchetti et al., 2022 Ortelli et al., 2023; Rahimi et al., 2024), others did not oberseve significant differences compared to healthy control (Appelt et al., 2022</w:t>
      </w:r>
      <w:r w:rsidR="00B52A5E">
        <w:rPr>
          <w:rFonts w:ascii="Times New Roman" w:hAnsi="Times New Roman" w:cs="Times New Roman"/>
          <w:sz w:val="24"/>
          <w:szCs w:val="24"/>
          <w:lang w:val="en-US"/>
        </w:rPr>
        <w:t xml:space="preserve">; </w:t>
      </w:r>
      <w:r w:rsidR="00B52A5E">
        <w:rPr>
          <w:rFonts w:ascii="Times New Roman" w:hAnsi="Times New Roman" w:cs="Times New Roman"/>
          <w:sz w:val="24"/>
          <w:szCs w:val="24"/>
          <w:lang w:val="en-US"/>
        </w:rPr>
        <w:t>Hasting et al.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Hasting et al. 2023</w:t>
      </w:r>
      <w:r w:rsidR="00B52A5E">
        <w:rPr>
          <w:rFonts w:ascii="Times New Roman" w:hAnsi="Times New Roman" w:cs="Times New Roman"/>
          <w:sz w:val="24"/>
          <w:szCs w:val="24"/>
          <w:lang w:val="en-US"/>
        </w:rPr>
        <w:t xml:space="preserve">; </w:t>
      </w:r>
      <w:r w:rsidR="00CA3B58">
        <w:rPr>
          <w:rFonts w:ascii="Times New Roman" w:hAnsi="Times New Roman" w:cs="Times New Roman"/>
          <w:sz w:val="24"/>
          <w:szCs w:val="24"/>
          <w:lang w:val="en-US"/>
        </w:rPr>
        <w:t>Lynch et al., 2022). This shows, that d</w:t>
      </w:r>
      <w:commentRangeStart w:id="12"/>
      <w:r w:rsidR="00145EF6" w:rsidRPr="00EF7A69">
        <w:rPr>
          <w:rFonts w:ascii="Times New Roman" w:hAnsi="Times New Roman" w:cs="Times New Roman"/>
          <w:sz w:val="24"/>
          <w:szCs w:val="24"/>
          <w:lang w:val="en-US"/>
        </w:rPr>
        <w:t xml:space="preserve">espite the broad </w:t>
      </w:r>
      <w:commentRangeEnd w:id="12"/>
      <w:r w:rsidR="00CB3C7D" w:rsidRPr="00EF7A69">
        <w:rPr>
          <w:rStyle w:val="CommentReference"/>
          <w:rFonts w:ascii="Times New Roman" w:eastAsia="Calibri" w:hAnsi="Times New Roman" w:cs="Times New Roman"/>
          <w:kern w:val="3"/>
          <w:sz w:val="24"/>
          <w:szCs w:val="24"/>
        </w:rPr>
        <w:commentReference w:id="12"/>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a considerable gap persists between subjectively reported cognitive difficulties and objectively assessed impairments. This gap highlights the complexity of measuring cognitive impairment.</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324FD185"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 xml:space="preserve">Around 22% of individuals diagnosed with PCS experience COVID-related cognitive impairment, according to a meta-analysis by Ceban et al. (2022). This finding is based on data from 43 studies, 31 of which used subjective assessments and 12 that employed objective measures. </w:t>
      </w:r>
      <w:commentRangeStart w:id="13"/>
      <w:r w:rsidRPr="00EF7A69">
        <w:rPr>
          <w:rFonts w:ascii="Times New Roman" w:hAnsi="Times New Roman" w:cs="Times New Roman"/>
          <w:sz w:val="24"/>
          <w:szCs w:val="24"/>
          <w:lang w:val="en-US"/>
        </w:rPr>
        <w:t xml:space="preserve">Notably, </w:t>
      </w:r>
      <w:commentRangeEnd w:id="13"/>
      <w:r w:rsidR="00133E16" w:rsidRPr="00EF7A69">
        <w:rPr>
          <w:rStyle w:val="CommentReference"/>
          <w:rFonts w:ascii="Times New Roman" w:eastAsia="Calibri" w:hAnsi="Times New Roman" w:cs="Times New Roman"/>
          <w:kern w:val="3"/>
          <w:sz w:val="24"/>
          <w:szCs w:val="24"/>
        </w:rPr>
        <w:commentReference w:id="13"/>
      </w:r>
      <w:r w:rsidRPr="00EF7A69">
        <w:rPr>
          <w:rFonts w:ascii="Times New Roman" w:hAnsi="Times New Roman" w:cs="Times New Roman"/>
          <w:sz w:val="24"/>
          <w:szCs w:val="24"/>
          <w:lang w:val="en-US"/>
        </w:rPr>
        <w:t xml:space="preserve">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63295F1A"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4" w:name="_Hlk193926368"/>
      <w:r w:rsidRPr="00EF7A69">
        <w:rPr>
          <w:rFonts w:ascii="Times New Roman" w:hAnsi="Times New Roman" w:cs="Times New Roman"/>
          <w:sz w:val="24"/>
          <w:szCs w:val="24"/>
          <w:lang w:val="en-US"/>
        </w:rPr>
        <w:t xml:space="preserve">Schild, Scharfenberg, Kirchner et al., 2023). </w:t>
      </w:r>
      <w:bookmarkEnd w:id="14"/>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objective cognitive screening tests confirmed impairment in only 25%, while extensive neurological assessment indicated impairments in 60% of these patients. </w:t>
      </w:r>
      <w:r w:rsidR="001213E0" w:rsidRPr="00EF7A69">
        <w:rPr>
          <w:rFonts w:ascii="Times New Roman" w:hAnsi="Times New Roman" w:cs="Times New Roman"/>
          <w:sz w:val="24"/>
          <w:szCs w:val="24"/>
          <w:lang w:val="en-US"/>
        </w:rPr>
        <w:t>Similarly, Go</w:t>
      </w:r>
      <w:commentRangeStart w:id="15"/>
      <w:r w:rsidR="001213E0" w:rsidRPr="00EF7A69">
        <w:rPr>
          <w:rFonts w:ascii="Times New Roman" w:hAnsi="Times New Roman" w:cs="Times New Roman"/>
          <w:sz w:val="24"/>
          <w:szCs w:val="24"/>
          <w:lang w:val="en-US"/>
        </w:rPr>
        <w:t>mzyakov</w:t>
      </w:r>
      <w:commentRangeEnd w:id="15"/>
      <w:r w:rsidR="00934BC3" w:rsidRPr="00EF7A69">
        <w:rPr>
          <w:rStyle w:val="CommentReference"/>
          <w:rFonts w:ascii="Times New Roman" w:eastAsia="Calibri" w:hAnsi="Times New Roman" w:cs="Times New Roman"/>
          <w:kern w:val="3"/>
          <w:sz w:val="24"/>
          <w:szCs w:val="24"/>
        </w:rPr>
        <w:commentReference w:id="15"/>
      </w:r>
      <w:r w:rsidR="001213E0" w:rsidRPr="00EF7A69">
        <w:rPr>
          <w:rFonts w:ascii="Times New Roman" w:hAnsi="Times New Roman" w:cs="Times New Roman"/>
          <w:sz w:val="24"/>
          <w:szCs w:val="24"/>
          <w:lang w:val="en-US"/>
        </w:rPr>
        <w:t xml:space="preserve">a </w:t>
      </w:r>
      <w:r w:rsidR="008032D5">
        <w:rPr>
          <w:rFonts w:ascii="Times New Roman" w:hAnsi="Times New Roman" w:cs="Times New Roman"/>
          <w:sz w:val="24"/>
          <w:szCs w:val="24"/>
          <w:lang w:val="en-US"/>
        </w:rPr>
        <w:t>et al. (2022)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MoCA score &lt; 26, was detected in only 40 % of participants who reported subjective cognitive complaints. </w:t>
      </w:r>
      <w:r w:rsidRPr="00EF7A69">
        <w:rPr>
          <w:rFonts w:ascii="Times New Roman" w:hAnsi="Times New Roman" w:cs="Times New Roman"/>
          <w:sz w:val="24"/>
          <w:szCs w:val="24"/>
          <w:lang w:val="en-US"/>
        </w:rPr>
        <w:t>Moreover, Schild, Scharfberg, Kirchner,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Pr="00EF7A69">
        <w:rPr>
          <w:rFonts w:ascii="Times New Roman" w:hAnsi="Times New Roman" w:cs="Times New Roman"/>
          <w:sz w:val="24"/>
          <w:szCs w:val="24"/>
          <w:lang w:val="en-US"/>
        </w:rPr>
        <w:t xml:space="preserve">Bland et al. (2024) observed that there was no </w:t>
      </w:r>
      <w:commentRangeStart w:id="16"/>
      <w:r w:rsidRPr="00EF7A69">
        <w:rPr>
          <w:rFonts w:ascii="Times New Roman" w:hAnsi="Times New Roman" w:cs="Times New Roman"/>
          <w:sz w:val="24"/>
          <w:szCs w:val="24"/>
          <w:lang w:val="en-US"/>
        </w:rPr>
        <w:t xml:space="preserve">significant relation </w:t>
      </w:r>
      <w:commentRangeEnd w:id="16"/>
      <w:r w:rsidR="001B60AA">
        <w:rPr>
          <w:rStyle w:val="CommentReference"/>
          <w:rFonts w:ascii="Calibri" w:eastAsia="Calibri" w:hAnsi="Calibri" w:cs="Times New Roman"/>
          <w:kern w:val="3"/>
        </w:rPr>
        <w:commentReference w:id="16"/>
      </w:r>
      <w:r w:rsidRPr="00EF7A69">
        <w:rPr>
          <w:rFonts w:ascii="Times New Roman" w:hAnsi="Times New Roman" w:cs="Times New Roman"/>
          <w:sz w:val="24"/>
          <w:szCs w:val="24"/>
          <w:lang w:val="en-US"/>
        </w:rPr>
        <w:t>between objective and subjective measures of cognitive function, implying that self-reports of “brain fog” may not be reflected by objectively measured cognitive dysfunction.</w:t>
      </w:r>
      <w:r w:rsidR="00EF7A69" w:rsidRPr="00EF7A69">
        <w:rPr>
          <w:rFonts w:ascii="Times New Roman" w:hAnsi="Times New Roman" w:cs="Times New Roman"/>
          <w:sz w:val="24"/>
          <w:szCs w:val="24"/>
          <w:lang w:val="en-US"/>
        </w:rPr>
        <w:t xml:space="preserve"> This misalignment highlights the complexity of cognitive impairment and raises questions about the additional factors that may influence individuals’ perceptions of cognitive d</w:t>
      </w:r>
      <w:commentRangeStart w:id="17"/>
      <w:r w:rsidR="00EF7A69" w:rsidRPr="00EF7A69">
        <w:rPr>
          <w:rFonts w:ascii="Times New Roman" w:hAnsi="Times New Roman" w:cs="Times New Roman"/>
          <w:sz w:val="24"/>
          <w:szCs w:val="24"/>
          <w:lang w:val="en-US"/>
        </w:rPr>
        <w:t>ifficultie</w:t>
      </w:r>
      <w:commentRangeEnd w:id="17"/>
      <w:r w:rsidR="001B60AA">
        <w:rPr>
          <w:rStyle w:val="CommentReference"/>
          <w:rFonts w:ascii="Calibri" w:eastAsia="Calibri" w:hAnsi="Calibri" w:cs="Times New Roman"/>
          <w:kern w:val="3"/>
        </w:rPr>
        <w:commentReference w:id="17"/>
      </w:r>
      <w:r w:rsidR="00EF7A69" w:rsidRPr="00EF7A69">
        <w:rPr>
          <w:rFonts w:ascii="Times New Roman" w:hAnsi="Times New Roman" w:cs="Times New Roman"/>
          <w:sz w:val="24"/>
          <w:szCs w:val="24"/>
          <w:lang w:val="en-US"/>
        </w:rPr>
        <w:t xml:space="preserve">s. </w:t>
      </w:r>
    </w:p>
    <w:p w14:paraId="2B2F0369" w14:textId="76E73F90" w:rsidR="00265713" w:rsidRPr="00265713" w:rsidRDefault="00265713" w:rsidP="0026571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Psychiatric and </w:t>
      </w:r>
      <w:commentRangeStart w:id="18"/>
      <w:r>
        <w:rPr>
          <w:rFonts w:ascii="Times New Roman" w:hAnsi="Times New Roman" w:cs="Times New Roman"/>
          <w:b/>
          <w:bCs/>
          <w:sz w:val="24"/>
          <w:szCs w:val="24"/>
          <w:lang w:val="en-US"/>
        </w:rPr>
        <w:t xml:space="preserve">health-related symptoms influencing </w:t>
      </w:r>
      <w:commentRangeEnd w:id="18"/>
      <w:r>
        <w:rPr>
          <w:rStyle w:val="CommentReference"/>
          <w:rFonts w:ascii="Calibri" w:eastAsia="Calibri" w:hAnsi="Calibri" w:cs="Times New Roman"/>
          <w:kern w:val="3"/>
        </w:rPr>
        <w:commentReference w:id="18"/>
      </w:r>
    </w:p>
    <w:p w14:paraId="1E3E8F24" w14:textId="2961E230" w:rsidR="00732125" w:rsidRPr="00732125" w:rsidRDefault="003A2B9F" w:rsidP="00265713">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p>
    <w:p w14:paraId="13040264" w14:textId="77777777" w:rsidR="003A2B9F" w:rsidRDefault="00ED4388" w:rsidP="00732125">
      <w:pPr>
        <w:spacing w:line="360" w:lineRule="auto"/>
        <w:ind w:firstLine="708"/>
        <w:rPr>
          <w:rFonts w:ascii="Times New Roman" w:hAnsi="Times New Roman" w:cs="Times New Roman"/>
          <w:sz w:val="24"/>
          <w:szCs w:val="24"/>
          <w:lang w:val="en-US"/>
        </w:rPr>
      </w:pPr>
      <w:r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Pr="00B22827">
        <w:rPr>
          <w:rFonts w:ascii="Times New Roman" w:hAnsi="Times New Roman" w:cs="Times New Roman"/>
          <w:sz w:val="24"/>
          <w:szCs w:val="24"/>
          <w:lang w:val="en-US"/>
        </w:rPr>
        <w:t xml:space="preserve">patients often experience a range of other </w:t>
      </w:r>
      <w:commentRangeStart w:id="19"/>
      <w:r w:rsidR="009C4C78">
        <w:rPr>
          <w:rFonts w:ascii="Times New Roman" w:hAnsi="Times New Roman" w:cs="Times New Roman"/>
          <w:sz w:val="24"/>
          <w:szCs w:val="24"/>
          <w:lang w:val="en-US"/>
        </w:rPr>
        <w:t xml:space="preserve">psychiatric and health-related </w:t>
      </w:r>
      <w:commentRangeEnd w:id="19"/>
      <w:r w:rsidR="009C4C78">
        <w:rPr>
          <w:rStyle w:val="CommentReference"/>
          <w:rFonts w:ascii="Calibri" w:eastAsia="Calibri" w:hAnsi="Calibri" w:cs="Times New Roman"/>
          <w:kern w:val="3"/>
        </w:rPr>
        <w:commentReference w:id="19"/>
      </w:r>
      <w:r w:rsidRPr="00B22827">
        <w:rPr>
          <w:rFonts w:ascii="Times New Roman" w:hAnsi="Times New Roman" w:cs="Times New Roman"/>
          <w:sz w:val="24"/>
          <w:szCs w:val="24"/>
          <w:lang w:val="en-US"/>
        </w:rPr>
        <w:t>symptoms, with fatigue being the most commonly reported alongside cognitive difficulties (</w:t>
      </w:r>
      <w:r w:rsidRPr="00B22827">
        <w:rPr>
          <w:rFonts w:ascii="Times New Roman" w:hAnsi="Times New Roman" w:cs="Times New Roman"/>
          <w:sz w:val="24"/>
          <w:szCs w:val="24"/>
          <w:lang w:val="en-US"/>
        </w:rPr>
        <w:t>Holdsworth et al.</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2022</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Premraj et al.</w:t>
      </w:r>
      <w:r w:rsidRPr="00B22827">
        <w:rPr>
          <w:rFonts w:ascii="Times New Roman" w:hAnsi="Times New Roman" w:cs="Times New Roman"/>
          <w:sz w:val="24"/>
          <w:szCs w:val="24"/>
          <w:lang w:val="en-US"/>
        </w:rPr>
        <w:t xml:space="preserve">, 2022; WHO, 2021). </w:t>
      </w:r>
      <w:r w:rsidRPr="00EB03BF">
        <w:rPr>
          <w:rFonts w:ascii="Times New Roman" w:hAnsi="Times New Roman" w:cs="Times New Roman"/>
          <w:sz w:val="24"/>
          <w:szCs w:val="24"/>
          <w:lang w:val="en-US"/>
        </w:rPr>
        <w:t xml:space="preserve">Axiety,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w:t>
      </w:r>
      <w:r w:rsidR="00EB03BF" w:rsidRPr="00EB03BF">
        <w:rPr>
          <w:rFonts w:ascii="Times New Roman" w:hAnsi="Times New Roman"/>
          <w:sz w:val="24"/>
          <w:szCs w:val="24"/>
          <w:lang w:val="en-US"/>
        </w:rPr>
        <w:t>Almeria, Cejudo, Sotoca, Deus &amp; Krupinski, 2020</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Badinlou et al.,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Premraj et al., 2022</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w:t>
      </w:r>
      <w:r w:rsidR="00F938B5">
        <w:rPr>
          <w:rFonts w:ascii="Times New Roman" w:hAnsi="Times New Roman" w:cs="Times New Roman"/>
          <w:sz w:val="24"/>
          <w:szCs w:val="24"/>
          <w:lang w:val="en-US"/>
        </w:rPr>
        <w:t xml:space="preserve">Almeria et al., 2020; Schild et al., 2023). </w:t>
      </w:r>
      <w:r w:rsidR="00CE4DAB">
        <w:rPr>
          <w:rFonts w:ascii="Times New Roman" w:hAnsi="Times New Roman" w:cs="Times New Roman"/>
          <w:sz w:val="24"/>
          <w:szCs w:val="24"/>
          <w:lang w:val="en-US"/>
        </w:rPr>
        <w:t xml:space="preserve">One study found that among ambulatory patients, objective cognitive test results were closely linked to anxiety, depression, fatigue and pain, a pattern that was not observed in hospitalized individuals </w:t>
      </w:r>
      <w:r w:rsidR="00CE4DAB">
        <w:rPr>
          <w:rFonts w:ascii="Times New Roman" w:hAnsi="Times New Roman" w:cs="Times New Roman"/>
          <w:sz w:val="24"/>
          <w:szCs w:val="24"/>
          <w:lang w:val="en-US"/>
        </w:rPr>
        <w:t>(Blackmon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20" w:name="_Hlk193971605"/>
      <w:r w:rsidR="00EE4F9A">
        <w:rPr>
          <w:rFonts w:ascii="Times New Roman" w:hAnsi="Times New Roman" w:cs="Times New Roman"/>
          <w:sz w:val="24"/>
          <w:szCs w:val="24"/>
          <w:lang w:val="en-US"/>
        </w:rPr>
        <w:t>Gomzyakova et al., 2022</w:t>
      </w:r>
      <w:bookmarkEnd w:id="20"/>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and depression, anxiety, sleep 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 et al.,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Henneghan et al., </w:t>
      </w:r>
      <w:r w:rsidR="00EE4F9A">
        <w:rPr>
          <w:rFonts w:ascii="Times New Roman" w:hAnsi="Times New Roman" w:cs="Times New Roman"/>
          <w:sz w:val="24"/>
          <w:szCs w:val="24"/>
          <w:lang w:val="en-US"/>
        </w:rPr>
        <w:lastRenderedPageBreak/>
        <w:t>2022</w:t>
      </w:r>
      <w:r w:rsidR="00EE4F9A">
        <w:rPr>
          <w:rFonts w:ascii="Times New Roman" w:hAnsi="Times New Roman" w:cs="Times New Roman"/>
          <w:sz w:val="24"/>
          <w:szCs w:val="24"/>
          <w:lang w:val="en-US"/>
        </w:rPr>
        <w:t xml:space="preserve">; </w:t>
      </w:r>
      <w:r w:rsidR="00EE4F9A">
        <w:rPr>
          <w:rFonts w:ascii="Times New Roman" w:hAnsi="Times New Roman" w:cs="Times New Roman"/>
          <w:sz w:val="24"/>
          <w:szCs w:val="24"/>
          <w:lang w:val="en-US"/>
        </w:rPr>
        <w:t>Gomzyakova et al., 2022</w:t>
      </w:r>
      <w:r w:rsidR="00EE4F9A">
        <w:rPr>
          <w:rFonts w:ascii="Times New Roman" w:hAnsi="Times New Roman" w:cs="Times New Roman"/>
          <w:sz w:val="24"/>
          <w:szCs w:val="24"/>
          <w:lang w:val="en-US"/>
        </w:rPr>
        <w:t>).</w:t>
      </w:r>
      <w:r w:rsidR="005A6EAB">
        <w:rPr>
          <w:rFonts w:ascii="Times New Roman" w:hAnsi="Times New Roman" w:cs="Times New Roman"/>
          <w:sz w:val="24"/>
          <w:szCs w:val="24"/>
          <w:lang w:val="en-US"/>
        </w:rPr>
        <w:t xml:space="preserve"> </w:t>
      </w:r>
      <w:commentRangeStart w:id="21"/>
      <w:r w:rsidR="005A6EAB">
        <w:rPr>
          <w:rFonts w:ascii="Times New Roman" w:hAnsi="Times New Roman" w:cs="Times New Roman"/>
          <w:sz w:val="24"/>
          <w:szCs w:val="24"/>
          <w:lang w:val="en-US"/>
        </w:rPr>
        <w:t>These findings are supported by another study, showing that cognitive impairment and fatigue are significantly associated with depression, anxiety, and sleep disturbance (Badinlou et al., 2022).</w:t>
      </w:r>
      <w:commentRangeEnd w:id="21"/>
      <w:r w:rsidR="00732125">
        <w:rPr>
          <w:rStyle w:val="CommentReference"/>
          <w:rFonts w:ascii="Calibri" w:eastAsia="Calibri" w:hAnsi="Calibri" w:cs="Times New Roman"/>
          <w:kern w:val="3"/>
        </w:rPr>
        <w:commentReference w:id="21"/>
      </w:r>
      <w:r w:rsidR="00732125">
        <w:rPr>
          <w:rFonts w:ascii="Times New Roman" w:hAnsi="Times New Roman" w:cs="Times New Roman"/>
          <w:sz w:val="24"/>
          <w:szCs w:val="24"/>
          <w:lang w:val="en-US"/>
        </w:rPr>
        <w:t xml:space="preserve"> </w:t>
      </w:r>
    </w:p>
    <w:p w14:paraId="1D377F3F" w14:textId="3E63EC53"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917A70">
        <w:rPr>
          <w:rFonts w:ascii="Times New Roman" w:hAnsi="Times New Roman" w:cs="Times New Roman"/>
          <w:sz w:val="24"/>
          <w:szCs w:val="24"/>
          <w:lang w:val="en-US"/>
        </w:rPr>
        <w:t>,</w:t>
      </w:r>
      <w:r w:rsidR="002E0A0A">
        <w:rPr>
          <w:rFonts w:ascii="Times New Roman" w:hAnsi="Times New Roman" w:cs="Times New Roman"/>
          <w:sz w:val="24"/>
          <w:szCs w:val="24"/>
          <w:lang w:val="en-US"/>
        </w:rPr>
        <w:t xml:space="preserve"> and further complemented by depression and sleep disturbance (</w:t>
      </w:r>
      <w:r w:rsidR="002E0A0A">
        <w:rPr>
          <w:rFonts w:ascii="Times New Roman" w:hAnsi="Times New Roman" w:cs="Times New Roman"/>
          <w:sz w:val="24"/>
          <w:szCs w:val="24"/>
          <w:lang w:val="en-US"/>
        </w:rPr>
        <w:t>Henneghan et al., 2022</w:t>
      </w:r>
      <w:r w:rsidR="002E0A0A">
        <w:rPr>
          <w:rFonts w:ascii="Times New Roman" w:hAnsi="Times New Roman" w:cs="Times New Roman"/>
          <w:sz w:val="24"/>
          <w:szCs w:val="24"/>
          <w:lang w:val="en-US"/>
        </w:rPr>
        <w:t xml:space="preserve">; </w:t>
      </w:r>
      <w:r w:rsidR="002E0A0A">
        <w:rPr>
          <w:rFonts w:ascii="Times New Roman" w:hAnsi="Times New Roman" w:cs="Times New Roman"/>
          <w:sz w:val="24"/>
          <w:szCs w:val="24"/>
          <w:lang w:val="en-US"/>
        </w:rPr>
        <w:t>Gomzyakova et al., 2022</w:t>
      </w:r>
      <w:r w:rsidR="002E0A0A">
        <w:rPr>
          <w:rFonts w:ascii="Times New Roman" w:hAnsi="Times New Roman" w:cs="Times New Roman"/>
          <w:sz w:val="24"/>
          <w:szCs w:val="24"/>
          <w:lang w:val="en-US"/>
        </w:rPr>
        <w:t xml:space="preserve">) </w:t>
      </w:r>
      <w:r w:rsidR="00732125">
        <w:rPr>
          <w:rFonts w:ascii="Times New Roman" w:hAnsi="Times New Roman" w:cs="Times New Roman"/>
          <w:sz w:val="24"/>
          <w:szCs w:val="24"/>
          <w:lang w:val="en-US"/>
        </w:rPr>
        <w:t xml:space="preserve">than by objective cognitive performance. </w:t>
      </w:r>
    </w:p>
    <w:p w14:paraId="3FDBC14B" w14:textId="064FED63" w:rsidR="00A07299" w:rsidRDefault="00B028E8" w:rsidP="00A07299">
      <w:pPr>
        <w:spacing w:line="360" w:lineRule="auto"/>
        <w:ind w:firstLine="708"/>
        <w:rPr>
          <w:rFonts w:ascii="Times New Roman" w:hAnsi="Times New Roman" w:cs="Times New Roman"/>
          <w:sz w:val="24"/>
          <w:szCs w:val="24"/>
          <w:lang w:val="en-US"/>
        </w:rPr>
      </w:pPr>
      <w:commentRangeStart w:id="22"/>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w:t>
      </w:r>
      <w:commentRangeStart w:id="23"/>
      <w:r w:rsidRPr="00991352">
        <w:rPr>
          <w:rFonts w:ascii="Times New Roman" w:hAnsi="Times New Roman" w:cs="Times New Roman"/>
          <w:sz w:val="24"/>
          <w:szCs w:val="24"/>
          <w:lang w:val="en-US"/>
        </w:rPr>
        <w:t xml:space="preserve">Fern´andez </w:t>
      </w:r>
      <w:commentRangeEnd w:id="23"/>
      <w:r w:rsidRPr="00991352">
        <w:rPr>
          <w:rStyle w:val="CommentReference1"/>
          <w:rFonts w:ascii="Times New Roman" w:hAnsi="Times New Roman"/>
          <w:sz w:val="24"/>
          <w:szCs w:val="24"/>
        </w:rPr>
        <w:commentReference w:id="23"/>
      </w:r>
      <w:r w:rsidRPr="00991352">
        <w:rPr>
          <w:rFonts w:ascii="Times New Roman" w:hAnsi="Times New Roman" w:cs="Times New Roman"/>
          <w:sz w:val="24"/>
          <w:szCs w:val="24"/>
          <w:lang w:val="en-US"/>
        </w:rPr>
        <w:t>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2"/>
      <w:r>
        <w:rPr>
          <w:rStyle w:val="CommentReference"/>
          <w:rFonts w:ascii="Calibri" w:eastAsia="Calibri" w:hAnsi="Calibri" w:cs="Times New Roman"/>
          <w:kern w:val="3"/>
        </w:rPr>
        <w:commentReference w:id="22"/>
      </w:r>
      <w:r w:rsidR="00183B02">
        <w:rPr>
          <w:rFonts w:ascii="Times New Roman" w:hAnsi="Times New Roman" w:cs="Times New Roman"/>
          <w:sz w:val="24"/>
          <w:szCs w:val="24"/>
          <w:lang w:val="en-US"/>
        </w:rPr>
        <w:t xml:space="preserve">Interestingly, </w:t>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SARS-CoV-2 </w:t>
      </w:r>
      <w:r w:rsidR="0062344B" w:rsidRPr="002504CA">
        <w:rPr>
          <w:rFonts w:ascii="Times New Roman" w:hAnsi="Times New Roman" w:cs="Times New Roman"/>
          <w:sz w:val="24"/>
          <w:szCs w:val="24"/>
          <w:lang w:val="en-US"/>
        </w:rPr>
        <w:t>infection, compared to assessments conducted between three and sic months</w:t>
      </w:r>
      <w:r w:rsidR="006D1204" w:rsidRPr="002504CA">
        <w:rPr>
          <w:rFonts w:ascii="Times New Roman" w:hAnsi="Times New Roman" w:cs="Times New Roman"/>
          <w:sz w:val="24"/>
          <w:szCs w:val="24"/>
          <w:lang w:val="en-US"/>
        </w:rPr>
        <w:t xml:space="preserve"> (Latronico et al., 2021;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 xml:space="preserve">(Latronico et al., 2021).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24" w:name="_Hlk193983167"/>
      <w:commentRangeStart w:id="25"/>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(Abdulrab &amp; Heun, 2008).</w:t>
      </w:r>
      <w:commentRangeEnd w:id="25"/>
      <w:r>
        <w:rPr>
          <w:rStyle w:val="CommentReference"/>
          <w:rFonts w:ascii="Calibri" w:eastAsia="Calibri" w:hAnsi="Calibri" w:cs="Times New Roman"/>
          <w:kern w:val="3"/>
        </w:rPr>
        <w:commentReference w:id="25"/>
      </w:r>
    </w:p>
    <w:bookmarkEnd w:id="24"/>
    <w:p w14:paraId="316CF4E4" w14:textId="77777777" w:rsidR="00A07299" w:rsidRDefault="00201D35" w:rsidP="00A0729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Biological factors</w:t>
      </w:r>
    </w:p>
    <w:p w14:paraId="6A00DC58" w14:textId="0CBF1070"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Structural changes such as 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 xml:space="preserve">particularly in attention and memory </w:t>
      </w:r>
      <w:r w:rsidR="002504CA" w:rsidRPr="002504CA">
        <w:rPr>
          <w:rFonts w:ascii="Times New Roman" w:hAnsi="Times New Roman" w:cs="Times New Roman"/>
          <w:sz w:val="24"/>
          <w:szCs w:val="24"/>
          <w:lang w:val="en-US"/>
        </w:rPr>
        <w:t>(Besteher et al., 2024; Díez-Cirarda et al., 2023; Heine et al., 2023)</w:t>
      </w:r>
      <w:r w:rsidR="002504CA" w:rsidRPr="002504CA">
        <w:rPr>
          <w:rFonts w:ascii="Times New Roman" w:hAnsi="Times New Roman" w:cs="Times New Roman"/>
          <w:sz w:val="24"/>
          <w:szCs w:val="24"/>
          <w:lang w:val="en-US"/>
        </w:rPr>
        <w:t>.</w:t>
      </w:r>
      <w:r w:rsidR="00313F17">
        <w:rPr>
          <w:rFonts w:ascii="Times New Roman" w:hAnsi="Times New Roman" w:cs="Times New Roman"/>
          <w:sz w:val="24"/>
          <w:szCs w:val="24"/>
          <w:lang w:val="en-US"/>
        </w:rPr>
        <w:t xml:space="preserve"> There as 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w:t>
      </w:r>
      <w:r w:rsidR="00EC6F10">
        <w:rPr>
          <w:rFonts w:ascii="Times New Roman" w:hAnsi="Times New Roman" w:cs="Times New Roman"/>
          <w:sz w:val="24"/>
          <w:szCs w:val="24"/>
          <w:lang w:val="en-US"/>
        </w:rPr>
        <w:lastRenderedPageBreak/>
        <w:t xml:space="preserve">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insights.</w:t>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60374B19" w14:textId="4B55764F" w:rsidR="000909C0" w:rsidRPr="000909C0" w:rsidRDefault="000909C0" w:rsidP="000909C0">
      <w:pPr>
        <w:spacing w:line="360" w:lineRule="auto"/>
        <w:rPr>
          <w:rFonts w:ascii="Times New Roman" w:hAnsi="Times New Roman" w:cs="Times New Roman"/>
          <w:b/>
          <w:bCs/>
          <w:sz w:val="24"/>
          <w:szCs w:val="24"/>
          <w:lang w:val="en-US"/>
        </w:rPr>
      </w:pPr>
      <w:commentRangeStart w:id="26"/>
      <w:r w:rsidRPr="000909C0">
        <w:rPr>
          <w:rFonts w:ascii="Times New Roman" w:hAnsi="Times New Roman" w:cs="Times New Roman"/>
          <w:b/>
          <w:bCs/>
          <w:sz w:val="24"/>
          <w:szCs w:val="24"/>
          <w:lang w:val="en-US"/>
        </w:rPr>
        <w:t>EEG</w:t>
      </w:r>
      <w:commentRangeEnd w:id="26"/>
      <w:r w:rsidR="009A7107">
        <w:rPr>
          <w:rStyle w:val="CommentReference"/>
          <w:rFonts w:ascii="Calibri" w:eastAsia="Calibri" w:hAnsi="Calibri" w:cs="Times New Roman"/>
          <w:kern w:val="3"/>
        </w:rPr>
        <w:commentReference w:id="26"/>
      </w:r>
    </w:p>
    <w:p w14:paraId="2CA7B6FE" w14:textId="77777777" w:rsidR="00E758F2" w:rsidRDefault="000909C0" w:rsidP="00E758F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0909C0">
        <w:rPr>
          <w:rFonts w:ascii="Times New Roman" w:hAnsi="Times New Roman" w:cs="Times New Roman"/>
          <w:sz w:val="24"/>
          <w:szCs w:val="24"/>
          <w:lang w:val="en-US"/>
        </w:rPr>
        <w:t xml:space="preserve">lectroencephalography (EEG) has been proven to be a valuable tool for assessing both subjectiv cognitive difficulties (Rossini et al., 2007) and objective cognitive impairment such as MCI and AD (Babiloni et al., 2011; Dierks, Frölich, Ihl &amp; Maurer, 1994; Jeong, 2024; Perez, Duque, Hidalgo &amp; Salvador, 2024; Celesia et al., 1987, Rossini et al., 2007, Rossini, 2009, Yener et al., 2008, Yener et al., 2009). </w:t>
      </w:r>
      <w:r w:rsidRPr="000909C0">
        <w:rPr>
          <w:rFonts w:ascii="Times New Roman" w:hAnsi="Times New Roman" w:cs="Times New Roman"/>
          <w:sz w:val="24"/>
          <w:szCs w:val="24"/>
          <w:lang w:val="en-US"/>
        </w:rPr>
        <w:t>In fact, EEG can serve as a supportive diagnostic tool for cognitive impairment, detecting brain dysfunction even before reaching pathological diagnostic criteria (Babiloni et al., 2021).</w:t>
      </w:r>
    </w:p>
    <w:p w14:paraId="4C8BBAA4" w14:textId="35864A09" w:rsidR="00E758F2" w:rsidRPr="00E758F2" w:rsidRDefault="00E758F2" w:rsidP="00E758F2">
      <w:pPr>
        <w:spacing w:line="360" w:lineRule="auto"/>
        <w:ind w:firstLine="708"/>
        <w:rPr>
          <w:rFonts w:ascii="Times New Roman" w:hAnsi="Times New Roman" w:cs="Times New Roman"/>
          <w:sz w:val="24"/>
          <w:szCs w:val="24"/>
          <w:lang w:val="en-US"/>
        </w:rPr>
      </w:pPr>
      <w:r>
        <w:rPr>
          <w:rStyle w:val="Absatz-Standardschriftart"/>
          <w:rFonts w:ascii="Times New Roman" w:hAnsi="Times New Roman"/>
          <w:sz w:val="24"/>
          <w:szCs w:val="24"/>
          <w:lang w:val="en-US"/>
        </w:rPr>
        <w:t>EEG is a neurophysiological technique that records brain electrical activity via scalp electrodes (Babiloni et al., 2011; Babiloni et al., 2016), providing a direct, real-time view of human brain function in physiological and pathological conditions (Berger, 1929; Liu et al., 2024). The human brain consists of approximately 100 billion neurons, forming intricate synaptic networks that support cognitive function (Babiloni et al., 2016). As the brain ages, these synaptic networks weaken due to synaptic pruning, neuronal apoptosis, and the loss of cortico-cortical connections, leading to a decline in cognitive function (D'Amelio and Rossini, 2012). Pathological processes can accelerate this process of brain aging (Babiloni et al., 2016). EEG allows the analysis of cortico-cortical connectivity and neuronal synchronization of firing, and coherence of brain rhythmic oscillations at various frequencies, providing insights  into the functional alterations associated with synaptic network weakening and cognitive decline (Babiloni et al., 2011; Nunez et al., 2001).</w:t>
      </w:r>
    </w:p>
    <w:p w14:paraId="27841479" w14:textId="303299D0" w:rsidR="00E758F2" w:rsidRPr="00DB133C" w:rsidRDefault="00E758F2" w:rsidP="00E758F2">
      <w:pPr>
        <w:pStyle w:val="Standard"/>
        <w:ind w:firstLine="708"/>
        <w:jc w:val="left"/>
        <w:rPr>
          <w:lang w:val="en-US"/>
        </w:rPr>
      </w:pPr>
      <w:r>
        <w:rPr>
          <w:rStyle w:val="Absatz-Standardschriftart"/>
          <w:rFonts w:ascii="Times New Roman" w:hAnsi="Times New Roman"/>
          <w:sz w:val="24"/>
          <w:szCs w:val="24"/>
          <w:lang w:val="en-US"/>
        </w:rPr>
        <w:t>The value of EEG in studying cognitive impairment has been recognized for decades. Hans Berger introduced EEG in humans in 1924 and was the first to observe pathological EEG patterns in a verified AD patient (Berger, 1931; Berger, 1932; Jeong, 2004), laying the foundation for numerous studies on EEG in AD and other neurodegenerative disorders (Jeong, 2004).</w:t>
      </w:r>
      <w:r>
        <w:rPr>
          <w:rStyle w:val="Absatz-Standardschriftart"/>
          <w:lang w:val="en-US"/>
        </w:rPr>
        <w:t xml:space="preserve"> </w:t>
      </w:r>
    </w:p>
    <w:p w14:paraId="11123935" w14:textId="683314C3" w:rsidR="00E758F2" w:rsidRPr="00DB133C" w:rsidRDefault="00E758F2" w:rsidP="00E758F2">
      <w:pPr>
        <w:pStyle w:val="Standard"/>
        <w:ind w:firstLine="708"/>
        <w:jc w:val="left"/>
        <w:rPr>
          <w:lang w:val="en-US"/>
        </w:rPr>
      </w:pPr>
      <w:r>
        <w:rPr>
          <w:rStyle w:val="Absatz-Standardschriftart"/>
          <w:rFonts w:ascii="Times New Roman" w:hAnsi="Times New Roman"/>
          <w:sz w:val="24"/>
          <w:szCs w:val="24"/>
          <w:lang w:val="en-US"/>
        </w:rPr>
        <w:t xml:space="preserve">Several studies have found a strong correlation between the degree of EEG abnormality and cognitive impairment (Brenner et al., 1988; Erkinjuntti et al., 1988; Johannesson et al., 1979; Kaszniak et al., 1979; Liddle, 1958; Merskey et al., 1980; Obrist et al., 1962; Rae-Grant et al., 1987; Roberts et al., 1978; Soininen et al., 1982; Wiener and </w:t>
      </w:r>
      <w:r>
        <w:rPr>
          <w:rStyle w:val="Absatz-Standardschriftart"/>
          <w:rFonts w:ascii="Times New Roman" w:hAnsi="Times New Roman"/>
          <w:sz w:val="24"/>
          <w:szCs w:val="24"/>
          <w:lang w:val="en-US"/>
        </w:rPr>
        <w:lastRenderedPageBreak/>
        <w:t>Schuster, 1956)</w:t>
      </w:r>
      <w:r>
        <w:rPr>
          <w:rStyle w:val="Absatz-Standardschriftart"/>
          <w:rFonts w:ascii="Times New Roman" w:hAnsi="Times New Roman"/>
          <w:sz w:val="24"/>
          <w:szCs w:val="24"/>
          <w:lang w:val="en-US"/>
        </w:rPr>
        <w:t>.</w:t>
      </w:r>
      <w:r>
        <w:rPr>
          <w:rStyle w:val="Absatz-Standardschriftart"/>
          <w:rFonts w:ascii="Times New Roman" w:hAnsi="Times New Roman"/>
          <w:sz w:val="24"/>
          <w:szCs w:val="24"/>
          <w:lang w:val="en-US"/>
        </w:rPr>
        <w:t xml:space="preserve"> Quantitative EEG (qEEG) and event-related potentials (ERPs) have been explored as potential clinical markers for detecting early stages of AD and monitoring disease progression (Celesia et al., 1987, Rossini et al., 2007, Rossini, 2009, Yener et al., 2008, Yener et al., 2009). </w:t>
      </w:r>
    </w:p>
    <w:p w14:paraId="0329522A" w14:textId="5A2D78A5" w:rsidR="00E758F2" w:rsidRPr="00DB133C" w:rsidRDefault="00E758F2" w:rsidP="00E758F2">
      <w:pPr>
        <w:pStyle w:val="Standard"/>
        <w:ind w:firstLine="708"/>
        <w:jc w:val="left"/>
        <w:rPr>
          <w:lang w:val="en-US"/>
        </w:rPr>
      </w:pPr>
      <w:r>
        <w:rPr>
          <w:rStyle w:val="Absatz-Standardschriftart"/>
          <w:rFonts w:ascii="Times New Roman" w:hAnsi="Times New Roman"/>
          <w:sz w:val="24"/>
          <w:szCs w:val="24"/>
          <w:lang w:val="en-US"/>
        </w:rPr>
        <w:t>EEG is a direct, non-invasive, safe, cost-effective</w:t>
      </w:r>
      <w:r>
        <w:rPr>
          <w:rStyle w:val="Absatz-Standardschriftart"/>
          <w:rFonts w:ascii="Times New Roman" w:hAnsi="Times New Roman"/>
          <w:sz w:val="24"/>
          <w:szCs w:val="24"/>
          <w:lang w:val="en-US"/>
        </w:rPr>
        <w:t>, and portable method</w:t>
      </w:r>
      <w:r>
        <w:rPr>
          <w:rStyle w:val="Absatz-Standardschriftart"/>
          <w:rFonts w:ascii="Times New Roman" w:hAnsi="Times New Roman"/>
          <w:sz w:val="24"/>
          <w:szCs w:val="24"/>
          <w:lang w:val="en-US"/>
        </w:rPr>
        <w:t xml:space="preserve"> making it a simple and convenient tool for assessing brain function (Babiloni et al., 2016; Babiloni et al., 2021; Biasiucci, Franceschiello &amp; Murray, 2019; Meghdadi et al., 2021; </w:t>
      </w:r>
      <w:r>
        <w:rPr>
          <w:rStyle w:val="Absatz-Standardschriftart"/>
          <w:rFonts w:ascii="Times New Roman" w:eastAsia="Times New Roman" w:hAnsi="Times New Roman"/>
          <w:sz w:val="24"/>
          <w:szCs w:val="24"/>
          <w:lang w:val="en-US" w:eastAsia="de-DE"/>
        </w:rPr>
        <w:t xml:space="preserve">Neo, Foti, Keehn &amp; Kelleher, 2023; </w:t>
      </w:r>
      <w:r>
        <w:rPr>
          <w:rStyle w:val="Absatz-Standardschriftart"/>
          <w:rFonts w:ascii="Times New Roman" w:hAnsi="Times New Roman"/>
          <w:sz w:val="24"/>
          <w:szCs w:val="24"/>
          <w:lang w:val="en-US"/>
        </w:rPr>
        <w:t>Rossini et al., 2019).</w:t>
      </w:r>
      <w:r>
        <w:rPr>
          <w:rStyle w:val="Absatz-Standardschriftart"/>
          <w:rFonts w:ascii="Times New Roman" w:hAnsi="Times New Roman"/>
          <w:sz w:val="24"/>
          <w:szCs w:val="24"/>
          <w:lang w:val="en-US"/>
        </w:rPr>
        <w:t xml:space="preserve"> </w:t>
      </w:r>
      <w:r>
        <w:rPr>
          <w:rStyle w:val="Absatz-Standardschriftart"/>
          <w:rFonts w:ascii="Times New Roman" w:hAnsi="Times New Roman"/>
          <w:sz w:val="24"/>
          <w:szCs w:val="24"/>
          <w:lang w:val="en-US"/>
        </w:rPr>
        <w:t xml:space="preserve">EEG’s portability enables recordings to be performed in various settings and individuals such as vulnerable elderly or those with advanced disease who may struggle with </w:t>
      </w:r>
      <w:r>
        <w:rPr>
          <w:rStyle w:val="Absatz-Standardschriftart"/>
          <w:rFonts w:ascii="Times New Roman" w:hAnsi="Times New Roman"/>
          <w:sz w:val="24"/>
          <w:szCs w:val="24"/>
          <w:lang w:val="en-US"/>
        </w:rPr>
        <w:t>magnetic resonance imaging (</w:t>
      </w:r>
      <w:r>
        <w:rPr>
          <w:rStyle w:val="Absatz-Standardschriftart"/>
          <w:rFonts w:ascii="Times New Roman" w:hAnsi="Times New Roman"/>
          <w:sz w:val="24"/>
          <w:szCs w:val="24"/>
          <w:lang w:val="en-US"/>
        </w:rPr>
        <w:t>MRI</w:t>
      </w:r>
      <w:r>
        <w:rPr>
          <w:rStyle w:val="Absatz-Standardschriftart"/>
          <w:rFonts w:ascii="Times New Roman" w:hAnsi="Times New Roman"/>
          <w:sz w:val="24"/>
          <w:szCs w:val="24"/>
          <w:lang w:val="en-US"/>
        </w:rPr>
        <w:t>)</w:t>
      </w:r>
      <w:r>
        <w:rPr>
          <w:rStyle w:val="Absatz-Standardschriftart"/>
          <w:rFonts w:ascii="Times New Roman" w:hAnsi="Times New Roman"/>
          <w:sz w:val="24"/>
          <w:szCs w:val="24"/>
          <w:lang w:val="en-US"/>
        </w:rPr>
        <w:t xml:space="preserve"> procedures (Babiloni et al., 2016).  Furthermore, EEG offers high temporal resolution (Meghdadi et al., 2021; Rossini et al., 2004; Rossini et al., 2019) (time resolution of ≤ 1 ms), </w:t>
      </w:r>
      <w:commentRangeStart w:id="27"/>
      <w:r>
        <w:rPr>
          <w:rStyle w:val="Absatz-Standardschriftart"/>
          <w:rFonts w:ascii="Times New Roman" w:hAnsi="Times New Roman"/>
          <w:sz w:val="24"/>
          <w:szCs w:val="24"/>
          <w:lang w:val="en-US"/>
        </w:rPr>
        <w:t>enabling it to provide neurophysiological data that cannot be obtained from other neuroimaging techniques (</w:t>
      </w:r>
      <w:commentRangeEnd w:id="27"/>
      <w:r>
        <w:rPr>
          <w:rStyle w:val="CommentReference"/>
        </w:rPr>
        <w:commentReference w:id="27"/>
      </w:r>
      <w:r>
        <w:rPr>
          <w:rStyle w:val="Absatz-Standardschriftart"/>
          <w:rFonts w:ascii="Times New Roman" w:hAnsi="Times New Roman"/>
          <w:sz w:val="24"/>
          <w:szCs w:val="24"/>
          <w:lang w:val="en-US"/>
        </w:rPr>
        <w:t xml:space="preserve">Biasiucci et al., 2019). </w:t>
      </w:r>
    </w:p>
    <w:p w14:paraId="6341D9AA" w14:textId="329858A3" w:rsidR="00E758F2" w:rsidRDefault="00E758F2" w:rsidP="00E758F2">
      <w:pPr>
        <w:pStyle w:val="Standard"/>
        <w:ind w:firstLine="0"/>
        <w:jc w:val="left"/>
        <w:rPr>
          <w:rFonts w:ascii="Times New Roman" w:hAnsi="Times New Roman"/>
          <w:sz w:val="24"/>
          <w:szCs w:val="24"/>
          <w:lang w:val="en-US"/>
        </w:rPr>
      </w:pPr>
      <w:r>
        <w:rPr>
          <w:rFonts w:ascii="Times New Roman" w:hAnsi="Times New Roman"/>
          <w:sz w:val="24"/>
          <w:szCs w:val="24"/>
          <w:lang w:val="en-US"/>
        </w:rPr>
        <w:t>Another advantage is its repeatability</w:t>
      </w:r>
      <w:r>
        <w:rPr>
          <w:rFonts w:ascii="Times New Roman" w:hAnsi="Times New Roman"/>
          <w:sz w:val="24"/>
          <w:szCs w:val="24"/>
          <w:lang w:val="en-US"/>
        </w:rPr>
        <w:t xml:space="preserve">. </w:t>
      </w:r>
      <w:r>
        <w:rPr>
          <w:rFonts w:ascii="Times New Roman" w:hAnsi="Times New Roman"/>
          <w:sz w:val="24"/>
          <w:szCs w:val="24"/>
          <w:lang w:val="en-US"/>
        </w:rPr>
        <w:t xml:space="preserve">EEG markers remain largely unaffected by meta-learning relative to task progression, allowing for repeated assessments throughout disease progression (Babiloni et al., 2016). </w:t>
      </w:r>
    </w:p>
    <w:p w14:paraId="201B86C7" w14:textId="77777777" w:rsidR="00E758F2" w:rsidRPr="00DB133C" w:rsidRDefault="00E758F2" w:rsidP="00E758F2">
      <w:pPr>
        <w:pStyle w:val="Standard"/>
        <w:ind w:firstLine="708"/>
        <w:jc w:val="left"/>
        <w:rPr>
          <w:lang w:val="en-US"/>
        </w:rPr>
      </w:pPr>
      <w:r>
        <w:rPr>
          <w:rStyle w:val="Absatz-Standardschriftart"/>
          <w:rFonts w:ascii="Times New Roman" w:hAnsi="Times New Roman"/>
          <w:sz w:val="24"/>
          <w:szCs w:val="24"/>
          <w:lang w:val="en-US"/>
        </w:rPr>
        <w:t xml:space="preserve">This study will focus on analyzing resting state EEG (rsEEG) </w:t>
      </w:r>
      <w:commentRangeStart w:id="28"/>
      <w:r>
        <w:rPr>
          <w:rStyle w:val="Absatz-Standardschriftart"/>
          <w:rFonts w:ascii="Times New Roman" w:hAnsi="Times New Roman"/>
          <w:sz w:val="24"/>
          <w:szCs w:val="24"/>
          <w:lang w:val="en-US"/>
        </w:rPr>
        <w:t>as an important approach within qEEG methodologies</w:t>
      </w:r>
      <w:commentRangeEnd w:id="28"/>
      <w:r>
        <w:rPr>
          <w:rStyle w:val="CommentReference"/>
        </w:rPr>
        <w:commentReference w:id="28"/>
      </w:r>
      <w:r>
        <w:rPr>
          <w:rStyle w:val="Absatz-Standardschriftart"/>
          <w:rFonts w:ascii="Times New Roman" w:hAnsi="Times New Roman"/>
          <w:sz w:val="24"/>
          <w:szCs w:val="24"/>
          <w:lang w:val="en-US"/>
        </w:rPr>
        <w:t xml:space="preserve">, as it is a promising tool for measuring quantifying brain neurophysiological dysfunction (Babiloni et al., 2011; Babiloni et al., 2016; Perez, Duque, Hidalgo &amp; Salvador, 2024). Unlike the measuring of ERPs, rsEEG captures spontaneous brain activity independently of cognitive tasks or stimuli </w:t>
      </w:r>
      <w:r>
        <w:rPr>
          <w:rStyle w:val="Absatz-Standardschriftart"/>
          <w:rFonts w:ascii="Times New Roman" w:eastAsia="Times New Roman" w:hAnsi="Times New Roman"/>
          <w:sz w:val="24"/>
          <w:szCs w:val="24"/>
          <w:lang w:val="en-US" w:eastAsia="de-DE"/>
        </w:rPr>
        <w:t>(</w:t>
      </w:r>
      <w:r>
        <w:rPr>
          <w:rStyle w:val="Absatz-Standardschriftart"/>
          <w:rFonts w:ascii="Times New Roman" w:hAnsi="Times New Roman"/>
          <w:sz w:val="24"/>
          <w:szCs w:val="24"/>
          <w:lang w:val="en-US"/>
        </w:rPr>
        <w:t xml:space="preserve">Babiloni et al., 2016; Babiloni et al., 2021; </w:t>
      </w:r>
      <w:r>
        <w:rPr>
          <w:rStyle w:val="Absatz-Standardschriftart"/>
          <w:rFonts w:ascii="Times New Roman" w:eastAsia="Times New Roman" w:hAnsi="Times New Roman"/>
          <w:sz w:val="24"/>
          <w:szCs w:val="24"/>
          <w:lang w:val="en-US" w:eastAsia="de-DE"/>
        </w:rPr>
        <w:t xml:space="preserve">Mantini, Perrucci, Del Gratta, Romani &amp; Corbetta, 2007; </w:t>
      </w:r>
      <w:r>
        <w:rPr>
          <w:rStyle w:val="Absatz-Standardschriftart"/>
          <w:rFonts w:ascii="Times New Roman" w:hAnsi="Times New Roman"/>
          <w:sz w:val="24"/>
          <w:szCs w:val="24"/>
          <w:lang w:val="en-US"/>
        </w:rPr>
        <w:t>Perez et al., 2024</w:t>
      </w:r>
      <w:r>
        <w:rPr>
          <w:rStyle w:val="Absatz-Standardschriftart"/>
          <w:rFonts w:ascii="Times New Roman" w:eastAsia="Times New Roman" w:hAnsi="Times New Roman"/>
          <w:sz w:val="24"/>
          <w:szCs w:val="24"/>
          <w:lang w:val="en-US" w:eastAsia="de-DE"/>
        </w:rPr>
        <w:t xml:space="preserve">), </w:t>
      </w:r>
      <w:r>
        <w:rPr>
          <w:rStyle w:val="Absatz-Standardschriftart"/>
          <w:rFonts w:ascii="Times New Roman" w:hAnsi="Times New Roman"/>
          <w:sz w:val="24"/>
          <w:szCs w:val="24"/>
          <w:lang w:val="en-US"/>
        </w:rPr>
        <w:t xml:space="preserve">making it resilient to factors such as fatigue, movement, anxiety, or </w:t>
      </w:r>
      <w:commentRangeStart w:id="29"/>
      <w:r>
        <w:rPr>
          <w:rStyle w:val="Absatz-Standardschriftart"/>
          <w:rFonts w:ascii="Times New Roman" w:hAnsi="Times New Roman"/>
          <w:sz w:val="24"/>
          <w:szCs w:val="24"/>
          <w:lang w:val="en-US"/>
        </w:rPr>
        <w:t xml:space="preserve">meta-learning </w:t>
      </w:r>
      <w:commentRangeEnd w:id="29"/>
      <w:r>
        <w:rPr>
          <w:rStyle w:val="CommentReference"/>
        </w:rPr>
        <w:commentReference w:id="29"/>
      </w:r>
      <w:r>
        <w:rPr>
          <w:rStyle w:val="Absatz-Standardschriftart"/>
          <w:rFonts w:ascii="Times New Roman" w:hAnsi="Times New Roman"/>
          <w:sz w:val="24"/>
          <w:szCs w:val="24"/>
          <w:lang w:val="en-US"/>
        </w:rPr>
        <w:t>(Babiloni et al., 2016; Babiloni et al., 2021; Perez et al., 2024).</w:t>
      </w:r>
    </w:p>
    <w:p w14:paraId="36EDC2E6" w14:textId="78F1D986" w:rsidR="000E2412" w:rsidRDefault="000E2412" w:rsidP="000909C0">
      <w:pPr>
        <w:spacing w:line="360" w:lineRule="auto"/>
        <w:rPr>
          <w:rStyle w:val="cf01"/>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rsEEG is to decompose oscillatory signal into spectral power across distinct frequency bands </w:t>
      </w:r>
      <w:r w:rsidRPr="000909C0">
        <w:rPr>
          <w:rStyle w:val="cf01"/>
          <w:rFonts w:ascii="Times New Roman" w:hAnsi="Times New Roman" w:cs="Times New Roman"/>
          <w:sz w:val="24"/>
          <w:szCs w:val="24"/>
          <w:lang w:val="en-US"/>
        </w:rPr>
        <w:t xml:space="preserve">(Babiloni et al., 2016; Perez et al., 2024). Spectral power reflects the distribution of neural activity at specific frequencies and is associated with various cognitive processes (Babiloni et al., 2016; Perez et al., 2024; Ward, 2003). </w:t>
      </w:r>
      <w:commentRangeStart w:id="30"/>
      <w:commentRangeEnd w:id="30"/>
      <w:r w:rsidRPr="000909C0">
        <w:rPr>
          <w:rStyle w:val="CommentReference"/>
          <w:rFonts w:ascii="Times New Roman" w:hAnsi="Times New Roman" w:cs="Times New Roman"/>
          <w:sz w:val="24"/>
          <w:szCs w:val="24"/>
        </w:rPr>
        <w:commentReference w:id="30"/>
      </w:r>
    </w:p>
    <w:p w14:paraId="051281C2" w14:textId="77777777" w:rsidR="005A7BCF" w:rsidRPr="00DB133C" w:rsidRDefault="005A7BCF" w:rsidP="005A7BCF">
      <w:pPr>
        <w:pStyle w:val="Standard"/>
        <w:ind w:firstLine="0"/>
        <w:jc w:val="left"/>
        <w:rPr>
          <w:lang w:val="en-US"/>
        </w:rPr>
      </w:pPr>
      <w:r>
        <w:rPr>
          <w:rStyle w:val="Absatz-Standardschriftart"/>
          <w:rFonts w:ascii="Times New Roman" w:hAnsi="Times New Roman"/>
          <w:b/>
          <w:bCs/>
          <w:sz w:val="24"/>
          <w:szCs w:val="24"/>
          <w:lang w:val="en-US"/>
        </w:rPr>
        <w:t>Now about frequency bands in general before looking at abnormalities in frequeny bands in MCI and covid patients</w:t>
      </w:r>
    </w:p>
    <w:p w14:paraId="320891B8" w14:textId="77777777" w:rsidR="005A7BCF" w:rsidRDefault="005A7BCF" w:rsidP="005A7BCF">
      <w:pPr>
        <w:pStyle w:val="Standard"/>
        <w:ind w:firstLine="0"/>
        <w:jc w:val="left"/>
        <w:rPr>
          <w:rFonts w:ascii="Times New Roman" w:hAnsi="Times New Roman"/>
          <w:sz w:val="24"/>
          <w:szCs w:val="24"/>
          <w:lang w:val="en-US"/>
        </w:rPr>
      </w:pPr>
    </w:p>
    <w:p w14:paraId="0DCB1A10" w14:textId="77777777" w:rsidR="005A7BCF" w:rsidRPr="00DB133C" w:rsidRDefault="005A7BCF" w:rsidP="005A7BCF">
      <w:pPr>
        <w:pStyle w:val="Standard"/>
        <w:ind w:firstLine="0"/>
        <w:jc w:val="left"/>
        <w:rPr>
          <w:lang w:val="en-US"/>
        </w:rPr>
      </w:pPr>
      <w:r>
        <w:rPr>
          <w:rStyle w:val="Absatz-Standardschriftart"/>
          <w:rFonts w:ascii="Times New Roman" w:hAnsi="Times New Roman"/>
          <w:sz w:val="24"/>
          <w:szCs w:val="24"/>
          <w:lang w:val="en-US"/>
        </w:rPr>
        <w:t xml:space="preserve">EEG signals are commonly categorized into five distinct frequency bands: Delta (1-4 Hz), theta (4-8 Hz), alpha (8-13 Hz), beta (13-30 Hz), and gamma (&gt;30 Hz) (Babiloni et al., 2011; </w:t>
      </w:r>
      <w:r>
        <w:rPr>
          <w:rStyle w:val="Absatz-Standardschriftart"/>
          <w:rFonts w:ascii="Times New Roman" w:hAnsi="Times New Roman"/>
          <w:sz w:val="24"/>
          <w:szCs w:val="24"/>
          <w:lang w:val="en-US"/>
        </w:rPr>
        <w:lastRenderedPageBreak/>
        <w:t>Babiloni et al., 2016). These frequency bands provide specific physiological insights into the brain’s functional state during sleep and wake periods (Babiloni et al., 2011; Nunez et al., 1999). However, there is no universal consensus on their exact frequency ranges, as definitions vary across studies. While Babiloni et al. (2016) define the delta band as 1-4 Hz and the beta band as 13-30 Hz, this study will consider delta as 0.5-3 Hz (Bachman &amp; Bernat, 2018; Gunasekaran, Azizi, Van Wassenhove &amp; Herbst, 2023; Uchida, Maloney &amp; Feinberg, 1992) and beta as 14-30 Hz (Brovelli, Ding, Ledberg, Chen, Nakamura &amp; Bressler; 2004; Liang, Zhang, Liu, Lou, Liu &amp; Wang, 2020; Pesonen, Hämäläinen &amp; Krause, 2007; Poppelaars, Harrewijn, Westenberg &amp; Van der Molen, 2018; Tzagarakis, West &amp; Pellizzer, 2015).</w:t>
      </w:r>
    </w:p>
    <w:p w14:paraId="43B37F99"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t>Delta frequency is typically absent during wakefulness in healthy adults and is primarily associated with deep sleep (</w:t>
      </w:r>
      <w:commentRangeStart w:id="31"/>
      <w:commentRangeStart w:id="32"/>
      <w:r>
        <w:rPr>
          <w:rStyle w:val="Absatz-Standardschriftart"/>
          <w:rFonts w:ascii="Times New Roman" w:hAnsi="Times New Roman"/>
          <w:sz w:val="24"/>
          <w:szCs w:val="24"/>
          <w:lang w:val="en-US"/>
        </w:rPr>
        <w:t>Attar, 2022</w:t>
      </w:r>
      <w:commentRangeEnd w:id="31"/>
      <w:r>
        <w:rPr>
          <w:rStyle w:val="CommentReference"/>
        </w:rPr>
        <w:commentReference w:id="31"/>
      </w:r>
      <w:commentRangeEnd w:id="32"/>
      <w:r>
        <w:rPr>
          <w:rStyle w:val="Kommentarzeichen"/>
        </w:rPr>
        <w:commentReference w:id="32"/>
      </w:r>
      <w:r>
        <w:rPr>
          <w:rStyle w:val="Absatz-Standardschriftart"/>
          <w:rFonts w:ascii="Times New Roman" w:hAnsi="Times New Roman"/>
          <w:sz w:val="24"/>
          <w:szCs w:val="24"/>
          <w:lang w:val="en-US"/>
        </w:rPr>
        <w:t>). Theta frequency is associated with the transition between wakefulness and sleep (Attar, 2022). Alpha frequency is characteristic of relaxed wakefulness (Attar, 2022). And</w:t>
      </w:r>
      <w:r>
        <w:rPr>
          <w:rStyle w:val="Absatz-Standardschriftart"/>
          <w:lang w:val="en-US"/>
        </w:rPr>
        <w:t xml:space="preserve"> b</w:t>
      </w:r>
      <w:r>
        <w:rPr>
          <w:rStyle w:val="Absatz-Standardschriftart"/>
          <w:rFonts w:ascii="Times New Roman" w:hAnsi="Times New Roman"/>
          <w:sz w:val="24"/>
          <w:szCs w:val="24"/>
          <w:lang w:val="en-US"/>
        </w:rPr>
        <w:t>eta frequency (14-30 Hz) is typically present when individuals are awake and mentally or physically active, or under psy</w:t>
      </w:r>
      <w:commentRangeStart w:id="33"/>
      <w:r>
        <w:rPr>
          <w:rStyle w:val="Absatz-Standardschriftart"/>
          <w:rFonts w:ascii="Times New Roman" w:hAnsi="Times New Roman"/>
          <w:sz w:val="24"/>
          <w:szCs w:val="24"/>
          <w:lang w:val="en-US"/>
        </w:rPr>
        <w:t>chologi</w:t>
      </w:r>
      <w:commentRangeEnd w:id="33"/>
      <w:r>
        <w:rPr>
          <w:rStyle w:val="CommentReference"/>
        </w:rPr>
        <w:commentReference w:id="33"/>
      </w:r>
      <w:r>
        <w:rPr>
          <w:rStyle w:val="Absatz-Standardschriftart"/>
          <w:rFonts w:ascii="Times New Roman" w:hAnsi="Times New Roman"/>
          <w:sz w:val="24"/>
          <w:szCs w:val="24"/>
          <w:lang w:val="en-US"/>
        </w:rPr>
        <w:t>cal stress (Attar, 2022).</w:t>
      </w:r>
    </w:p>
    <w:p w14:paraId="5832FBBA"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t xml:space="preserve">During normal aging, eyes-closed rsEEG rhythms undergo gradual changes, </w:t>
      </w:r>
      <w:commentRangeStart w:id="34"/>
      <w:r>
        <w:rPr>
          <w:rStyle w:val="Absatz-Standardschriftart"/>
          <w:rFonts w:ascii="Times New Roman" w:hAnsi="Times New Roman"/>
          <w:sz w:val="24"/>
          <w:szCs w:val="24"/>
          <w:lang w:val="en-US"/>
        </w:rPr>
        <w:t xml:space="preserve">including a shift in power distribution across frequency bands </w:t>
      </w:r>
      <w:commentRangeEnd w:id="34"/>
      <w:r>
        <w:rPr>
          <w:rStyle w:val="CommentReference"/>
        </w:rPr>
        <w:commentReference w:id="34"/>
      </w:r>
      <w:r>
        <w:rPr>
          <w:rStyle w:val="Absatz-Standardschriftart"/>
          <w:rFonts w:ascii="Times New Roman" w:hAnsi="Times New Roman"/>
          <w:sz w:val="24"/>
          <w:szCs w:val="24"/>
          <w:lang w:val="en-US"/>
        </w:rPr>
        <w:t>(Babiloni et al., 2011; Babiloni et al., 2016; Babiloni et al., 2006; Barry &amp; De Blasio, 2017; Liu et at., 2024). However, in pathological aging, such as AD, these alterations become more pronounced and disruptive (Claus et al., 2000; Lejko et al., 2020; Liu et at., 2024).</w:t>
      </w:r>
    </w:p>
    <w:p w14:paraId="36F00508"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t>A key feature of pathological aging is EEG slowing, which has been linked to cognitive impairment, where greater slowing is associated with worse impairment (</w:t>
      </w:r>
      <w:r>
        <w:rPr>
          <w:rStyle w:val="Absatz-Standardschriftart"/>
          <w:rFonts w:ascii="Times New Roman" w:eastAsia="Times New Roman" w:hAnsi="Times New Roman"/>
          <w:sz w:val="24"/>
          <w:szCs w:val="24"/>
          <w:lang w:val="en-US" w:eastAsia="de-DE"/>
        </w:rPr>
        <w:t xml:space="preserve">D’Atri et al., 2021; </w:t>
      </w:r>
      <w:r>
        <w:rPr>
          <w:rStyle w:val="Absatz-Standardschriftart"/>
          <w:rFonts w:ascii="Times New Roman" w:hAnsi="Times New Roman"/>
          <w:sz w:val="24"/>
          <w:szCs w:val="24"/>
          <w:lang w:val="en-US"/>
        </w:rPr>
        <w:t>Farina et al., 2020; Finnigan &amp; Robertson, 2011; Lejko et al., 2020</w:t>
      </w:r>
      <w:r>
        <w:rPr>
          <w:rStyle w:val="Absatz-Standardschriftart"/>
          <w:rFonts w:ascii="Times New Roman" w:eastAsia="Times New Roman" w:hAnsi="Times New Roman"/>
          <w:sz w:val="24"/>
          <w:szCs w:val="24"/>
          <w:lang w:val="en-US" w:eastAsia="de-DE"/>
        </w:rPr>
        <w:t>)</w:t>
      </w:r>
      <w:r>
        <w:rPr>
          <w:rStyle w:val="Absatz-Standardschriftart"/>
          <w:rFonts w:ascii="Times New Roman" w:hAnsi="Times New Roman"/>
          <w:sz w:val="24"/>
          <w:szCs w:val="24"/>
          <w:lang w:val="en-US"/>
        </w:rPr>
        <w:t>. This slowing is characterized by increased power in low-frequency band (delta, theta) and reduced power in high-frequency band (alpha, beta) (Farina et al., 2020; Lejko et al., 2020; Liu et al., 2024).</w:t>
      </w:r>
    </w:p>
    <w:p w14:paraId="30FDE46A"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t xml:space="preserve">In AD, these EEG alterations are well-documented, with a consistent pattern of increased delta and theta power alongside reduced alpha and beta power compared to healthy older adults (Babiloni et al., 2011; </w:t>
      </w:r>
      <w:r>
        <w:rPr>
          <w:rStyle w:val="Absatz-Standardschriftart"/>
          <w:rFonts w:ascii="Times New Roman" w:eastAsia="Times New Roman" w:hAnsi="Times New Roman"/>
          <w:sz w:val="24"/>
          <w:szCs w:val="24"/>
          <w:lang w:val="en-US" w:eastAsia="de-DE"/>
        </w:rPr>
        <w:t>C</w:t>
      </w:r>
      <w:r>
        <w:rPr>
          <w:rStyle w:val="Absatz-Standardschriftart"/>
          <w:rFonts w:ascii="Times New Roman" w:hAnsi="Times New Roman"/>
          <w:sz w:val="24"/>
          <w:szCs w:val="24"/>
          <w:lang w:val="en-US"/>
        </w:rPr>
        <w:t xml:space="preserve">laus et al., 2000; </w:t>
      </w:r>
      <w:r>
        <w:rPr>
          <w:rStyle w:val="Absatz-Standardschriftart"/>
          <w:rFonts w:ascii="Times New Roman" w:eastAsia="Times New Roman" w:hAnsi="Times New Roman"/>
          <w:sz w:val="24"/>
          <w:szCs w:val="24"/>
          <w:lang w:val="en-US" w:eastAsia="de-DE"/>
        </w:rPr>
        <w:t>D’Atri et al., 2021;</w:t>
      </w:r>
      <w:r>
        <w:rPr>
          <w:rStyle w:val="Absatz-Standardschriftart"/>
          <w:rFonts w:ascii="Times New Roman" w:hAnsi="Times New Roman"/>
          <w:sz w:val="24"/>
          <w:szCs w:val="24"/>
          <w:lang w:val="en-US"/>
        </w:rPr>
        <w:t xml:space="preserve"> Dringenberg, 2000; Elmståhl, Ros</w:t>
      </w:r>
      <w:commentRangeStart w:id="35"/>
      <w:r>
        <w:rPr>
          <w:rStyle w:val="Absatz-Standardschriftart"/>
          <w:rFonts w:ascii="Times New Roman" w:hAnsi="Times New Roman"/>
          <w:sz w:val="24"/>
          <w:szCs w:val="24"/>
          <w:lang w:val="en-US"/>
        </w:rPr>
        <w:t>e</w:t>
      </w:r>
      <w:commentRangeEnd w:id="35"/>
      <w:r>
        <w:rPr>
          <w:rStyle w:val="CommentReference"/>
          <w:rFonts w:ascii="Times New Roman" w:hAnsi="Times New Roman"/>
          <w:sz w:val="24"/>
          <w:szCs w:val="24"/>
        </w:rPr>
        <w:commentReference w:id="35"/>
      </w:r>
      <w:r>
        <w:rPr>
          <w:rStyle w:val="Absatz-Standardschriftart"/>
          <w:rFonts w:ascii="Times New Roman" w:hAnsi="Times New Roman"/>
          <w:sz w:val="24"/>
          <w:szCs w:val="24"/>
          <w:lang w:val="en-US"/>
        </w:rPr>
        <w:t>n &amp; Gullberg, 1994; Farina et al., 2020; Fröhlich et al., 2021; Hogan, Swanwick, Kaiser, Rowan &amp; Lawlor, 2003; Jelic, Shigeta, Julin, Almkvist, Winblad &amp; Wahlund, 1996; Jeong, 2004; Lejko et al., 2020; Musaeus et al., 2018; Özbek, Fide &amp; Yener, 2021; Wada, Nanbu, Jiang, Koshino, Yamaguchi &amp; Hashimoto, 1997).</w:t>
      </w:r>
    </w:p>
    <w:p w14:paraId="17308E8D"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lastRenderedPageBreak/>
        <w:t xml:space="preserve">However, findings in MCI </w:t>
      </w:r>
      <w:commentRangeStart w:id="36"/>
      <w:r>
        <w:rPr>
          <w:rStyle w:val="Absatz-Standardschriftart"/>
          <w:rFonts w:ascii="Times New Roman" w:hAnsi="Times New Roman"/>
          <w:sz w:val="24"/>
          <w:szCs w:val="24"/>
          <w:lang w:val="en-US"/>
        </w:rPr>
        <w:t xml:space="preserve">and SCD </w:t>
      </w:r>
      <w:commentRangeEnd w:id="36"/>
      <w:r>
        <w:rPr>
          <w:rStyle w:val="CommentReference"/>
        </w:rPr>
        <w:commentReference w:id="36"/>
      </w:r>
      <w:r>
        <w:rPr>
          <w:rStyle w:val="Absatz-Standardschriftart"/>
          <w:rFonts w:ascii="Times New Roman" w:hAnsi="Times New Roman"/>
          <w:sz w:val="24"/>
          <w:szCs w:val="24"/>
          <w:lang w:val="en-US"/>
        </w:rPr>
        <w:t xml:space="preserve">remain less consistent (Fröhlich et al., 2021). While some studies report EEG slowing similar to that seen in AD, albeit to a lesser extent, others show greater variability in frequency band alterations (Fröhlich et al., 2021; </w:t>
      </w:r>
    </w:p>
    <w:p w14:paraId="3CD97B1C" w14:textId="77777777" w:rsidR="005A7BCF" w:rsidRDefault="005A7BCF" w:rsidP="005A7BCF">
      <w:pPr>
        <w:pStyle w:val="Standard"/>
        <w:ind w:firstLine="0"/>
        <w:jc w:val="left"/>
        <w:rPr>
          <w:rFonts w:ascii="Times New Roman" w:hAnsi="Times New Roman"/>
          <w:sz w:val="24"/>
          <w:szCs w:val="24"/>
          <w:lang w:val="en-US"/>
        </w:rPr>
      </w:pPr>
    </w:p>
    <w:p w14:paraId="7E54AA60" w14:textId="77777777" w:rsidR="005A7BCF" w:rsidRPr="00DB133C" w:rsidRDefault="005A7BCF" w:rsidP="005A7BCF">
      <w:pPr>
        <w:pStyle w:val="Standard"/>
        <w:ind w:firstLine="0"/>
        <w:jc w:val="left"/>
        <w:rPr>
          <w:lang w:val="en-US"/>
        </w:rPr>
      </w:pPr>
      <w:r>
        <w:rPr>
          <w:rStyle w:val="Absatz-Standardschriftart"/>
          <w:rFonts w:ascii="Times New Roman" w:hAnsi="Times New Roman"/>
          <w:sz w:val="24"/>
          <w:szCs w:val="24"/>
          <w:lang w:val="en-US"/>
        </w:rPr>
        <w:t xml:space="preserve">Notably, </w:t>
      </w:r>
      <w:r>
        <w:rPr>
          <w:rStyle w:val="Absatz-Standardschriftart"/>
          <w:rFonts w:ascii="Times New Roman" w:hAnsi="Times New Roman"/>
          <w:sz w:val="24"/>
          <w:szCs w:val="24"/>
          <w:shd w:val="clear" w:color="auto" w:fill="00FFFF"/>
          <w:lang w:val="en-US"/>
        </w:rPr>
        <w:t>theta</w:t>
      </w:r>
      <w:r>
        <w:rPr>
          <w:rStyle w:val="Absatz-Standardschriftart"/>
          <w:rFonts w:ascii="Times New Roman" w:hAnsi="Times New Roman"/>
          <w:sz w:val="24"/>
          <w:szCs w:val="24"/>
          <w:lang w:val="en-US"/>
        </w:rPr>
        <w:t xml:space="preserve"> and gamma bands are recognized for their involvement in memory (Klimesch, 1999; Nyhus &amp; Curran, 2010), whereas </w:t>
      </w:r>
      <w:r>
        <w:rPr>
          <w:rStyle w:val="Absatz-Standardschriftart"/>
          <w:rFonts w:ascii="Times New Roman" w:hAnsi="Times New Roman"/>
          <w:sz w:val="24"/>
          <w:szCs w:val="24"/>
          <w:shd w:val="clear" w:color="auto" w:fill="FFFF00"/>
          <w:lang w:val="en-US"/>
        </w:rPr>
        <w:t>delta</w:t>
      </w:r>
      <w:r>
        <w:rPr>
          <w:rStyle w:val="Absatz-Standardschriftart"/>
          <w:rFonts w:ascii="Times New Roman" w:hAnsi="Times New Roman"/>
          <w:sz w:val="24"/>
          <w:szCs w:val="24"/>
          <w:lang w:val="en-US"/>
        </w:rPr>
        <w:t xml:space="preserve"> bands play a role in maintaining focused attention (Harmony, 2013). The </w:t>
      </w:r>
      <w:r>
        <w:rPr>
          <w:rStyle w:val="Absatz-Standardschriftart"/>
          <w:rFonts w:ascii="Times New Roman" w:hAnsi="Times New Roman"/>
          <w:sz w:val="24"/>
          <w:szCs w:val="24"/>
          <w:shd w:val="clear" w:color="auto" w:fill="00FF00"/>
          <w:lang w:val="en-US"/>
        </w:rPr>
        <w:t>alpha</w:t>
      </w:r>
      <w:r>
        <w:rPr>
          <w:rStyle w:val="Absatz-Standardschriftart"/>
          <w:rFonts w:ascii="Times New Roman" w:hAnsi="Times New Roman"/>
          <w:sz w:val="24"/>
          <w:szCs w:val="24"/>
          <w:lang w:val="en-US"/>
        </w:rPr>
        <w:t xml:space="preserve"> band has been associated with attention and memory processes (Klimesch, 1999, 2012). Although the role of </w:t>
      </w:r>
      <w:r>
        <w:rPr>
          <w:rStyle w:val="Absatz-Standardschriftart"/>
          <w:rFonts w:ascii="Times New Roman" w:hAnsi="Times New Roman"/>
          <w:sz w:val="24"/>
          <w:szCs w:val="24"/>
          <w:shd w:val="clear" w:color="auto" w:fill="FF00FF"/>
          <w:lang w:val="en-US"/>
        </w:rPr>
        <w:t>beta</w:t>
      </w:r>
      <w:r>
        <w:rPr>
          <w:rStyle w:val="Absatz-Standardschriftart"/>
          <w:rFonts w:ascii="Times New Roman" w:hAnsi="Times New Roman"/>
          <w:sz w:val="24"/>
          <w:szCs w:val="24"/>
          <w:lang w:val="en-US"/>
        </w:rPr>
        <w:t xml:space="preserve"> oscillations in the cognitive process has been explored less, some evidence suggests that they are related to the state of attention (Güntekin et al., 2013). </w:t>
      </w:r>
    </w:p>
    <w:p w14:paraId="1119107A" w14:textId="77777777" w:rsidR="005A7BCF" w:rsidRDefault="005A7BCF" w:rsidP="005A7BCF">
      <w:pPr>
        <w:pStyle w:val="Standard"/>
        <w:ind w:firstLine="0"/>
        <w:jc w:val="left"/>
        <w:rPr>
          <w:rFonts w:ascii="Times New Roman" w:hAnsi="Times New Roman"/>
          <w:sz w:val="24"/>
          <w:szCs w:val="24"/>
          <w:lang w:val="en-US"/>
        </w:rPr>
      </w:pPr>
    </w:p>
    <w:p w14:paraId="0999C581" w14:textId="77777777" w:rsidR="005A7BCF" w:rsidRDefault="005A7BCF" w:rsidP="005A7BCF">
      <w:pPr>
        <w:pStyle w:val="Standard"/>
        <w:ind w:firstLine="0"/>
        <w:jc w:val="left"/>
        <w:rPr>
          <w:rFonts w:ascii="Times New Roman" w:hAnsi="Times New Roman"/>
          <w:sz w:val="24"/>
          <w:szCs w:val="24"/>
          <w:lang w:val="en-US"/>
        </w:rPr>
      </w:pPr>
      <w:r>
        <w:rPr>
          <w:rFonts w:ascii="Times New Roman" w:hAnsi="Times New Roman"/>
          <w:sz w:val="24"/>
          <w:szCs w:val="24"/>
          <w:lang w:val="en-US"/>
        </w:rPr>
        <w:t xml:space="preserve">Given the inconsistencies in EEG alterations in MCI (and SCD), this study focuses on delta and beta frequency bands, as …. (something about MCI/cognitive impairment, maybe also PCS, fatigue). </w:t>
      </w:r>
    </w:p>
    <w:p w14:paraId="6B3AADA4" w14:textId="77777777" w:rsidR="005A7BCF" w:rsidRPr="00DB133C" w:rsidRDefault="005A7BCF" w:rsidP="005A7BCF">
      <w:pPr>
        <w:pStyle w:val="Standard"/>
        <w:ind w:firstLine="0"/>
        <w:jc w:val="left"/>
        <w:rPr>
          <w:lang w:val="en-US"/>
        </w:rPr>
      </w:pPr>
      <w:r>
        <w:rPr>
          <w:rStyle w:val="Absatz-Standardschriftart"/>
          <w:rFonts w:ascii="Times New Roman" w:hAnsi="Times New Roman"/>
          <w:sz w:val="24"/>
          <w:szCs w:val="24"/>
          <w:lang w:val="en-US"/>
        </w:rPr>
        <w:t xml:space="preserve">In this study delta and beta frequency bands are primarly </w:t>
      </w:r>
      <w:commentRangeStart w:id="37"/>
      <w:commentRangeStart w:id="38"/>
      <w:r>
        <w:rPr>
          <w:rStyle w:val="Absatz-Standardschriftart"/>
          <w:rFonts w:ascii="Times New Roman" w:hAnsi="Times New Roman"/>
          <w:sz w:val="24"/>
          <w:szCs w:val="24"/>
          <w:lang w:val="en-US"/>
        </w:rPr>
        <w:t xml:space="preserve">considered, since </w:t>
      </w:r>
      <w:commentRangeEnd w:id="37"/>
      <w:r>
        <w:rPr>
          <w:rStyle w:val="CommentReference"/>
        </w:rPr>
        <w:commentReference w:id="37"/>
      </w:r>
      <w:commentRangeEnd w:id="38"/>
      <w:r>
        <w:rPr>
          <w:rStyle w:val="Kommentarzeichen"/>
        </w:rPr>
        <w:commentReference w:id="38"/>
      </w:r>
      <w:r>
        <w:rPr>
          <w:rStyle w:val="Absatz-Standardschriftart"/>
          <w:rFonts w:ascii="Times New Roman" w:hAnsi="Times New Roman"/>
          <w:sz w:val="24"/>
          <w:szCs w:val="24"/>
          <w:lang w:val="en-US"/>
        </w:rPr>
        <w:t>….</w:t>
      </w:r>
    </w:p>
    <w:p w14:paraId="45246D3B" w14:textId="77777777" w:rsidR="005A7BCF" w:rsidRPr="00DB133C" w:rsidRDefault="005A7BCF" w:rsidP="005A7BCF">
      <w:pPr>
        <w:pStyle w:val="Standard"/>
        <w:ind w:firstLine="0"/>
        <w:jc w:val="left"/>
        <w:rPr>
          <w:lang w:val="en-US"/>
        </w:rPr>
      </w:pPr>
      <w:r>
        <w:rPr>
          <w:rStyle w:val="Absatz-Standardschriftart"/>
          <w:rFonts w:ascii="Times New Roman" w:hAnsi="Times New Roman"/>
          <w:sz w:val="24"/>
          <w:szCs w:val="24"/>
          <w:lang w:val="en-US"/>
        </w:rPr>
        <w:br/>
      </w:r>
      <w:r>
        <w:rPr>
          <w:rStyle w:val="Absatz-Standardschriftart"/>
          <w:rFonts w:ascii="Times New Roman" w:hAnsi="Times New Roman"/>
          <w:b/>
          <w:bCs/>
          <w:sz w:val="24"/>
          <w:szCs w:val="24"/>
          <w:lang w:val="en-US"/>
        </w:rPr>
        <w:t>Delta power in MCI</w:t>
      </w:r>
    </w:p>
    <w:p w14:paraId="217F45A1"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t xml:space="preserve">Findings on delta power in MCI remain inconsistent. Several studies have observed increased delta power (Adler, Bramesfeld &amp; Jajcevic, 1999; Babiloni et al., 2006; Babiloni et al., 2010; Farina et al., 2020; Jelic et al., 2020; Koenig et al., 2005; Moretti, Zanetti, Binetti &amp; Frisoni, 2012; Ya, Xun, Wei, Ting, Hong &amp; Yuan, 2015), while others found no significant differences between MCI and healthy individuals (Fröhlich et al., 2021; Jelic et al., 1996), </w:t>
      </w:r>
      <w:commentRangeStart w:id="39"/>
      <w:r>
        <w:rPr>
          <w:rStyle w:val="Absatz-Standardschriftart"/>
          <w:rFonts w:ascii="Times New Roman" w:hAnsi="Times New Roman"/>
          <w:sz w:val="24"/>
          <w:szCs w:val="24"/>
          <w:lang w:val="en-US"/>
        </w:rPr>
        <w:t xml:space="preserve">and yet others </w:t>
      </w:r>
      <w:commentRangeEnd w:id="39"/>
      <w:r>
        <w:rPr>
          <w:rStyle w:val="CommentReference"/>
        </w:rPr>
        <w:commentReference w:id="39"/>
      </w:r>
      <w:r>
        <w:rPr>
          <w:rStyle w:val="Absatz-Standardschriftart"/>
          <w:rFonts w:ascii="Times New Roman" w:hAnsi="Times New Roman"/>
          <w:sz w:val="24"/>
          <w:szCs w:val="24"/>
          <w:lang w:val="en-US"/>
        </w:rPr>
        <w:t xml:space="preserve">reported a decrease in delta power during rsEEG (Kwak, 2006; Liddell et al., 2007). Additionally, Liddell et al. (2007) observed a significant positive correlation between </w:t>
      </w:r>
      <w:r>
        <w:rPr>
          <w:rStyle w:val="Absatz-Standardschriftart"/>
          <w:rFonts w:ascii="Times New Roman" w:hAnsi="Times New Roman"/>
          <w:sz w:val="24"/>
          <w:szCs w:val="24"/>
          <w:shd w:val="clear" w:color="auto" w:fill="FFFF00"/>
          <w:lang w:val="en-US"/>
        </w:rPr>
        <w:t>delta</w:t>
      </w:r>
      <w:r>
        <w:rPr>
          <w:rStyle w:val="Absatz-Standardschriftart"/>
          <w:rFonts w:ascii="Times New Roman" w:hAnsi="Times New Roman"/>
          <w:sz w:val="24"/>
          <w:szCs w:val="24"/>
          <w:lang w:val="en-US"/>
        </w:rPr>
        <w:t xml:space="preserve"> power and immediate memory recall in MCI, suggesting that </w:t>
      </w:r>
      <w:r>
        <w:rPr>
          <w:rStyle w:val="Absatz-Standardschriftart"/>
          <w:rFonts w:ascii="Times New Roman" w:hAnsi="Times New Roman"/>
          <w:sz w:val="24"/>
          <w:szCs w:val="24"/>
          <w:shd w:val="clear" w:color="auto" w:fill="FFFF00"/>
          <w:lang w:val="en-US"/>
        </w:rPr>
        <w:t>delta</w:t>
      </w:r>
      <w:r>
        <w:rPr>
          <w:rStyle w:val="Absatz-Standardschriftart"/>
          <w:rFonts w:ascii="Times New Roman" w:hAnsi="Times New Roman"/>
          <w:sz w:val="24"/>
          <w:szCs w:val="24"/>
          <w:lang w:val="en-US"/>
        </w:rPr>
        <w:t xml:space="preserve"> power may be linked to memory decline and could serve as a sensitive indicator of prodromal cognitive decline. </w:t>
      </w:r>
    </w:p>
    <w:p w14:paraId="2A9EF91F"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t xml:space="preserve">These findings </w:t>
      </w:r>
      <w:commentRangeStart w:id="40"/>
      <w:r>
        <w:rPr>
          <w:rStyle w:val="Absatz-Standardschriftart"/>
          <w:rFonts w:ascii="Times New Roman" w:hAnsi="Times New Roman"/>
          <w:sz w:val="24"/>
          <w:szCs w:val="24"/>
          <w:lang w:val="en-US"/>
        </w:rPr>
        <w:t xml:space="preserve">suggest that…. </w:t>
      </w:r>
      <w:commentRangeEnd w:id="40"/>
      <w:r>
        <w:rPr>
          <w:rStyle w:val="CommentReference"/>
        </w:rPr>
        <w:commentReference w:id="40"/>
      </w:r>
    </w:p>
    <w:p w14:paraId="2FC7E69D"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shd w:val="clear" w:color="auto" w:fill="FF0000"/>
          <w:lang w:val="en-US"/>
        </w:rPr>
        <w:t>However, other studies have shown increased delta power in MCI patients compared to healthy controls, particularly in frontal and centroparietall regions (Adler, Bramesfeld &amp; Jajcevic, 1999; Moretti, Zanetti, Binetti &amp; Frisoni, 2012).</w:t>
      </w:r>
    </w:p>
    <w:p w14:paraId="22E6F266"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shd w:val="clear" w:color="auto" w:fill="FF0000"/>
          <w:lang w:val="en-US"/>
        </w:rPr>
        <w:t>In MCI, delta power alterations have been observed primarily in the frontal (</w:t>
      </w:r>
      <w:r>
        <w:rPr>
          <w:rStyle w:val="Absatz-Standardschriftart"/>
          <w:rFonts w:ascii="Times New Roman" w:eastAsia="Times New Roman" w:hAnsi="Times New Roman"/>
          <w:sz w:val="24"/>
          <w:szCs w:val="24"/>
          <w:shd w:val="clear" w:color="auto" w:fill="FF0000"/>
          <w:lang w:val="en-US" w:eastAsia="de-DE"/>
        </w:rPr>
        <w:t>D’Atri et al., 2021)</w:t>
      </w:r>
      <w:r>
        <w:rPr>
          <w:rStyle w:val="Absatz-Standardschriftart"/>
          <w:rFonts w:ascii="Times New Roman" w:hAnsi="Times New Roman"/>
          <w:sz w:val="24"/>
          <w:szCs w:val="24"/>
          <w:shd w:val="clear" w:color="auto" w:fill="FF0000"/>
          <w:lang w:val="en-US"/>
        </w:rPr>
        <w:t>, left temporo-parietal (Farina et al., 2020), and temporal-occipital regions (Jelic et al., 2020).</w:t>
      </w:r>
      <w:r>
        <w:rPr>
          <w:rStyle w:val="Absatz-Standardschriftart"/>
          <w:rFonts w:ascii="Times New Roman" w:hAnsi="Times New Roman"/>
          <w:sz w:val="24"/>
          <w:szCs w:val="24"/>
          <w:lang w:val="en-US"/>
        </w:rPr>
        <w:t xml:space="preserve"> </w:t>
      </w:r>
    </w:p>
    <w:p w14:paraId="10EDF2F9" w14:textId="77777777" w:rsidR="005A7BCF" w:rsidRDefault="005A7BCF" w:rsidP="005A7BCF">
      <w:pPr>
        <w:pStyle w:val="Standard"/>
        <w:ind w:firstLine="708"/>
        <w:jc w:val="left"/>
        <w:rPr>
          <w:rFonts w:ascii="Times New Roman" w:hAnsi="Times New Roman"/>
          <w:sz w:val="24"/>
          <w:szCs w:val="24"/>
          <w:lang w:val="en-US"/>
        </w:rPr>
      </w:pPr>
    </w:p>
    <w:p w14:paraId="138EEB9D" w14:textId="77777777" w:rsidR="005A7BCF" w:rsidRDefault="005A7BCF" w:rsidP="005A7BCF">
      <w:pPr>
        <w:pStyle w:val="Standard"/>
        <w:ind w:firstLine="0"/>
        <w:jc w:val="left"/>
        <w:rPr>
          <w:rFonts w:ascii="Times New Roman" w:hAnsi="Times New Roman"/>
          <w:b/>
          <w:bCs/>
          <w:sz w:val="24"/>
          <w:szCs w:val="24"/>
          <w:lang w:val="en-US"/>
        </w:rPr>
      </w:pPr>
      <w:r>
        <w:rPr>
          <w:rFonts w:ascii="Times New Roman" w:hAnsi="Times New Roman"/>
          <w:b/>
          <w:bCs/>
          <w:sz w:val="24"/>
          <w:szCs w:val="24"/>
          <w:lang w:val="en-US"/>
        </w:rPr>
        <w:lastRenderedPageBreak/>
        <w:t>Beta power in MCI</w:t>
      </w:r>
    </w:p>
    <w:p w14:paraId="6CF19F81" w14:textId="77777777" w:rsidR="005A7BCF" w:rsidRPr="00DB133C" w:rsidRDefault="005A7BCF" w:rsidP="005A7BCF">
      <w:pPr>
        <w:pStyle w:val="Standard"/>
        <w:ind w:firstLine="708"/>
        <w:jc w:val="left"/>
        <w:rPr>
          <w:lang w:val="en-US"/>
        </w:rPr>
      </w:pPr>
      <w:r>
        <w:rPr>
          <w:rStyle w:val="Absatz-Standardschriftart"/>
          <w:rFonts w:ascii="Times New Roman" w:hAnsi="Times New Roman"/>
          <w:sz w:val="24"/>
          <w:szCs w:val="24"/>
          <w:lang w:val="en-US"/>
        </w:rPr>
        <w:t xml:space="preserve">Finding on beta power in MCI are inconsistent. Several studies found no significant differences in beta power compared to healthy control (Babiloni et al., 2006; Fröhlich et al., 2021; Jelic et al., 1996; Kwak, 2006(?); Ya, Xun, Wei, Ting, Hong &amp; Yuan, 2015). </w:t>
      </w:r>
      <w:commentRangeStart w:id="41"/>
      <w:r>
        <w:rPr>
          <w:rStyle w:val="Absatz-Standardschriftart"/>
          <w:rFonts w:ascii="Times New Roman" w:hAnsi="Times New Roman"/>
          <w:sz w:val="24"/>
          <w:szCs w:val="24"/>
          <w:lang w:val="en-US"/>
        </w:rPr>
        <w:t>However</w:t>
      </w:r>
      <w:commentRangeEnd w:id="41"/>
      <w:r>
        <w:rPr>
          <w:rStyle w:val="CommentReference"/>
        </w:rPr>
        <w:commentReference w:id="41"/>
      </w:r>
      <w:r>
        <w:rPr>
          <w:rStyle w:val="Absatz-Standardschriftart"/>
          <w:rFonts w:ascii="Times New Roman" w:hAnsi="Times New Roman"/>
          <w:sz w:val="24"/>
          <w:szCs w:val="24"/>
          <w:lang w:val="en-US"/>
        </w:rPr>
        <w:t xml:space="preserve">, Jelic et al. (1996) noted a tendency toward higher beta values in frontal regions in individuals with objective memory disturbance, through this difference was not statistically significant. Conversely, other studies have reported a decrease in beta power (Babiloni et al., 2015; Jelic et al., 2020; Koenig et al., 2005), particularly in the temporal and occipital regions (Jelic et al., 2000). These findings </w:t>
      </w:r>
      <w:commentRangeStart w:id="42"/>
      <w:r>
        <w:rPr>
          <w:rStyle w:val="Absatz-Standardschriftart"/>
          <w:rFonts w:ascii="Times New Roman" w:hAnsi="Times New Roman"/>
          <w:sz w:val="24"/>
          <w:szCs w:val="24"/>
          <w:lang w:val="en-US"/>
        </w:rPr>
        <w:t xml:space="preserve">suggest that …. </w:t>
      </w:r>
      <w:commentRangeEnd w:id="42"/>
      <w:r>
        <w:rPr>
          <w:rStyle w:val="CommentReference"/>
        </w:rPr>
        <w:commentReference w:id="42"/>
      </w:r>
    </w:p>
    <w:p w14:paraId="0C80FDEB" w14:textId="77777777" w:rsidR="005A7BCF" w:rsidRDefault="005A7BCF" w:rsidP="005A7BCF">
      <w:pPr>
        <w:pStyle w:val="Standard"/>
        <w:ind w:firstLine="0"/>
        <w:jc w:val="left"/>
        <w:rPr>
          <w:lang w:val="en-US"/>
        </w:rPr>
      </w:pPr>
    </w:p>
    <w:p w14:paraId="4B99E322" w14:textId="77777777" w:rsidR="005A7BCF" w:rsidRDefault="005A7BCF" w:rsidP="005A7BCF">
      <w:pPr>
        <w:pStyle w:val="Standard"/>
        <w:ind w:firstLine="0"/>
        <w:jc w:val="left"/>
        <w:rPr>
          <w:rFonts w:ascii="Times New Roman" w:hAnsi="Times New Roman"/>
          <w:b/>
          <w:bCs/>
          <w:sz w:val="24"/>
          <w:szCs w:val="24"/>
          <w:lang w:val="en-US"/>
        </w:rPr>
      </w:pPr>
      <w:r>
        <w:rPr>
          <w:rFonts w:ascii="Times New Roman" w:hAnsi="Times New Roman"/>
          <w:b/>
          <w:bCs/>
          <w:sz w:val="24"/>
          <w:szCs w:val="24"/>
          <w:lang w:val="en-US"/>
        </w:rPr>
        <w:t>Delta and beta power in SCD</w:t>
      </w:r>
    </w:p>
    <w:p w14:paraId="69AB631F" w14:textId="77777777" w:rsidR="005A7BCF" w:rsidRPr="00DB133C" w:rsidRDefault="005A7BCF" w:rsidP="005A7BCF">
      <w:pPr>
        <w:pStyle w:val="Standard"/>
        <w:ind w:firstLine="0"/>
        <w:jc w:val="left"/>
        <w:rPr>
          <w:lang w:val="en-US"/>
        </w:rPr>
      </w:pPr>
      <w:r>
        <w:rPr>
          <w:rStyle w:val="Absatz-Standardschriftart"/>
          <w:rFonts w:ascii="Times New Roman" w:hAnsi="Times New Roman"/>
          <w:sz w:val="24"/>
          <w:szCs w:val="24"/>
          <w:lang w:val="en-US"/>
        </w:rPr>
        <w:t xml:space="preserve">Perez et al. (2024) reviewed studies on rsEEG frequency bands in SCD and </w:t>
      </w:r>
      <w:commentRangeStart w:id="43"/>
      <w:r>
        <w:rPr>
          <w:rStyle w:val="Absatz-Standardschriftart"/>
          <w:rFonts w:ascii="Times New Roman" w:hAnsi="Times New Roman"/>
          <w:sz w:val="24"/>
          <w:szCs w:val="24"/>
          <w:lang w:val="en-US"/>
        </w:rPr>
        <w:t xml:space="preserve">observed </w:t>
      </w:r>
      <w:commentRangeEnd w:id="43"/>
      <w:r>
        <w:rPr>
          <w:rStyle w:val="CommentReference"/>
        </w:rPr>
        <w:commentReference w:id="43"/>
      </w:r>
      <w:r>
        <w:rPr>
          <w:rStyle w:val="Absatz-Standardschriftart"/>
          <w:rFonts w:ascii="Times New Roman" w:hAnsi="Times New Roman"/>
          <w:sz w:val="24"/>
          <w:szCs w:val="24"/>
          <w:lang w:val="en-US"/>
        </w:rPr>
        <w:t xml:space="preserve">that findings for the delta and beta bands were inconsistent across research. Of the nine studies included in the review, five did not find alterations in the rsEEG delta frequency band in individuals with SCD. The remaining four reported an increase in delta power in individuals with SCD compared to healthy controls, as well as in individuals with MCI compared to those with SCD. </w:t>
      </w:r>
      <w:commentRangeStart w:id="44"/>
      <w:commentRangeStart w:id="45"/>
      <w:r>
        <w:rPr>
          <w:rStyle w:val="Absatz-Standardschriftart"/>
          <w:rFonts w:ascii="Times New Roman" w:hAnsi="Times New Roman"/>
          <w:sz w:val="24"/>
          <w:szCs w:val="24"/>
          <w:lang w:val="en-US"/>
        </w:rPr>
        <w:t>Sibilano et al. (2023) identified the delta (and theta) bands as the most effective in distinguishing SCD from MCI</w:t>
      </w:r>
      <w:commentRangeEnd w:id="44"/>
      <w:r>
        <w:rPr>
          <w:rStyle w:val="CommentReference"/>
        </w:rPr>
        <w:commentReference w:id="44"/>
      </w:r>
      <w:commentRangeEnd w:id="45"/>
      <w:r>
        <w:rPr>
          <w:rStyle w:val="Kommentarzeichen"/>
        </w:rPr>
        <w:commentReference w:id="45"/>
      </w:r>
      <w:r>
        <w:rPr>
          <w:rStyle w:val="Absatz-Standardschriftart"/>
          <w:rFonts w:ascii="Times New Roman" w:hAnsi="Times New Roman"/>
          <w:sz w:val="24"/>
          <w:szCs w:val="24"/>
          <w:lang w:val="en-US"/>
        </w:rPr>
        <w:t xml:space="preserve">. </w:t>
      </w:r>
    </w:p>
    <w:p w14:paraId="6F0678F2" w14:textId="77777777" w:rsidR="005A7BCF" w:rsidRPr="00DB133C" w:rsidRDefault="005A7BCF" w:rsidP="005A7BCF">
      <w:pPr>
        <w:pStyle w:val="Standard"/>
        <w:ind w:firstLine="0"/>
        <w:jc w:val="left"/>
        <w:rPr>
          <w:lang w:val="en-US"/>
        </w:rPr>
      </w:pPr>
      <w:r>
        <w:rPr>
          <w:rStyle w:val="Absatz-Standardschriftart"/>
          <w:rFonts w:ascii="Times New Roman" w:hAnsi="Times New Roman"/>
          <w:sz w:val="24"/>
          <w:szCs w:val="24"/>
          <w:lang w:val="en-US"/>
        </w:rPr>
        <w:t xml:space="preserve">Three studies reported </w:t>
      </w:r>
      <w:commentRangeStart w:id="46"/>
      <w:r>
        <w:rPr>
          <w:rStyle w:val="Absatz-Standardschriftart"/>
          <w:rFonts w:ascii="Times New Roman" w:hAnsi="Times New Roman"/>
          <w:sz w:val="24"/>
          <w:szCs w:val="24"/>
          <w:lang w:val="en-US"/>
        </w:rPr>
        <w:t>notable</w:t>
      </w:r>
      <w:commentRangeEnd w:id="46"/>
      <w:r>
        <w:rPr>
          <w:rStyle w:val="CommentReference"/>
        </w:rPr>
        <w:commentReference w:id="46"/>
      </w:r>
      <w:r>
        <w:rPr>
          <w:rStyle w:val="Absatz-Standardschriftart"/>
          <w:rFonts w:ascii="Times New Roman" w:hAnsi="Times New Roman"/>
          <w:sz w:val="24"/>
          <w:szCs w:val="24"/>
          <w:lang w:val="en-US"/>
        </w:rPr>
        <w:t xml:space="preserve"> changes in beta band activity. While two found increased beta activity in individuals with SCD compared to healthy controls, and in individuals with MCI compared to those with SCD, the third study observed a tendency toward decreased beta power in MCI compared to SCD.</w:t>
      </w:r>
    </w:p>
    <w:p w14:paraId="2D35D3FE" w14:textId="77777777" w:rsidR="005A7BCF" w:rsidRPr="00DB133C" w:rsidRDefault="005A7BCF" w:rsidP="009A7107">
      <w:pPr>
        <w:pStyle w:val="Standard"/>
        <w:ind w:firstLine="0"/>
        <w:jc w:val="left"/>
        <w:rPr>
          <w:lang w:val="en-US"/>
        </w:rPr>
      </w:pPr>
    </w:p>
    <w:p w14:paraId="352D8F0D" w14:textId="77777777" w:rsidR="00E758F2" w:rsidRDefault="00E758F2" w:rsidP="000909C0">
      <w:pPr>
        <w:spacing w:line="360" w:lineRule="auto"/>
        <w:rPr>
          <w:rStyle w:val="cf01"/>
          <w:rFonts w:ascii="Times New Roman" w:hAnsi="Times New Roman" w:cs="Times New Roman"/>
          <w:sz w:val="24"/>
          <w:szCs w:val="24"/>
          <w:lang w:val="en-US"/>
        </w:rPr>
      </w:pPr>
    </w:p>
    <w:p w14:paraId="36CF413A" w14:textId="77777777" w:rsidR="00E758F2" w:rsidRPr="000909C0" w:rsidRDefault="00E758F2" w:rsidP="000909C0">
      <w:pPr>
        <w:spacing w:line="360" w:lineRule="auto"/>
        <w:rPr>
          <w:rFonts w:ascii="Times New Roman" w:hAnsi="Times New Roman" w:cs="Times New Roman"/>
          <w:sz w:val="24"/>
          <w:szCs w:val="24"/>
          <w:lang w:val="en-US"/>
        </w:rPr>
      </w:pPr>
    </w:p>
    <w:p w14:paraId="6E26977F" w14:textId="120BA4D5" w:rsidR="001764A3" w:rsidRPr="0068523F" w:rsidRDefault="001764A3" w:rsidP="000909C0">
      <w:pPr>
        <w:pStyle w:val="ListParagraph"/>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alterations) in cognitive decline (specifically beta and delta, seperate points?)</w:t>
      </w:r>
    </w:p>
    <w:p w14:paraId="63BF3613" w14:textId="052F04F5" w:rsidR="00126340" w:rsidRPr="0068523F" w:rsidRDefault="00126340" w:rsidP="0012634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598ED972"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5838E36C"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Hypotheses</w:t>
      </w:r>
    </w:p>
    <w:p w14:paraId="6B57B1EF" w14:textId="1E51FF15" w:rsidR="00F74FE8" w:rsidRPr="0068523F" w:rsidRDefault="00F74FE8">
      <w:pPr>
        <w:rPr>
          <w:lang w:val="en-US"/>
        </w:rPr>
      </w:pP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e Arnau Martinez" w:date="2025-03-17T17:46:00Z" w:initials="Mie Arnau">
    <w:p w14:paraId="1C1B9639" w14:textId="77777777" w:rsidR="001764A3" w:rsidRDefault="001764A3" w:rsidP="001764A3">
      <w:pPr>
        <w:pStyle w:val="Kommentartekst"/>
      </w:pPr>
      <w:r>
        <w:rPr>
          <w:rStyle w:val="CommentReference"/>
        </w:rPr>
        <w:annotationRef/>
      </w:r>
      <w:r>
        <w:t>In general, I really like your way of writing. I think it is super clear sentences and not too complicated language which also gives a sense that you really know what you are writing about.</w:t>
      </w:r>
    </w:p>
    <w:p w14:paraId="695ED428" w14:textId="77777777" w:rsidR="001764A3" w:rsidRDefault="001764A3" w:rsidP="001764A3">
      <w:pPr>
        <w:pStyle w:val="Kommentartekst"/>
      </w:pPr>
    </w:p>
    <w:p w14:paraId="75FDFF5C" w14:textId="77777777" w:rsidR="001764A3" w:rsidRDefault="001764A3" w:rsidP="001764A3">
      <w:pPr>
        <w:pStyle w:val="Kommentartekst"/>
      </w:pPr>
      <w:r>
        <w:t>As a disclaimer, I think the way a thesis in psychology is structured is way different compared to how we have to do it in my masters as we really have to make it short and concise and you have to be more elaborate right? So, read my comments with this in mind as it might not be applicable in your case.</w:t>
      </w:r>
    </w:p>
    <w:p w14:paraId="2C3A5DCA" w14:textId="77777777" w:rsidR="001764A3" w:rsidRDefault="001764A3" w:rsidP="001764A3">
      <w:pPr>
        <w:pStyle w:val="Kommentartekst"/>
      </w:pPr>
    </w:p>
    <w:p w14:paraId="562CE17A" w14:textId="77777777" w:rsidR="001764A3" w:rsidRDefault="001764A3" w:rsidP="001764A3">
      <w:pPr>
        <w:pStyle w:val="Kommentartekst"/>
      </w:pPr>
      <w:r>
        <w:t>For getting more structure, I think you should write a core argument for each paragraph that is exemplifying the message you want to send to the reader with that paragraph and then zoom out and see how these arguments are connected and what you can do to make the connection more clear if that makes sense?</w:t>
      </w:r>
    </w:p>
  </w:comment>
  <w:comment w:id="1" w:author="Janka Hauffe" w:date="2025-02-02T15:28:00Z" w:initials="Janka Hau">
    <w:p w14:paraId="04A11A78" w14:textId="77777777" w:rsidR="001764A3" w:rsidRPr="009861E9" w:rsidRDefault="001764A3" w:rsidP="001764A3">
      <w:pPr>
        <w:pStyle w:val="CommentText1"/>
        <w:ind w:firstLine="0"/>
        <w:jc w:val="left"/>
        <w:rPr>
          <w:lang w:val="da-DK"/>
        </w:rPr>
      </w:pPr>
      <w:r>
        <w:rPr>
          <w:rStyle w:val="CommentReference"/>
        </w:rPr>
        <w:annotationRef/>
      </w:r>
      <w:r>
        <w:rPr>
          <w:lang w:val="en-US"/>
        </w:rPr>
        <w:t>I need citation here</w:t>
      </w:r>
    </w:p>
  </w:comment>
  <w:comment w:id="2" w:author="Christian Neumann" w:date="2025-03-07T15:57:00Z" w:initials="Christian">
    <w:p w14:paraId="33811D06" w14:textId="77777777" w:rsidR="001764A3" w:rsidRPr="009861E9" w:rsidRDefault="001764A3" w:rsidP="001764A3">
      <w:pPr>
        <w:pStyle w:val="CommentText"/>
        <w:rPr>
          <w:lang w:val="da-DK"/>
        </w:rPr>
      </w:pPr>
      <w:r>
        <w:rPr>
          <w:rStyle w:val="CommentReference"/>
        </w:rPr>
        <w:annotationRef/>
      </w:r>
      <w:r>
        <w:rPr>
          <w:lang w:val="en-US"/>
        </w:rPr>
        <w:t>I am currently reading this paper, I think u can use it for multiple parts of your theoretical background: https://www.frontiersin.org/journals/physiology/articles/10.3389/fphys.2013.00063/full</w:t>
      </w:r>
    </w:p>
  </w:comment>
  <w:comment w:id="7" w:author="Janka Hauffe" w:date="2025-02-02T15:22:00Z" w:initials="Janka Hau">
    <w:p w14:paraId="1663FE57" w14:textId="77777777" w:rsidR="001764A3" w:rsidRPr="00F436FC" w:rsidRDefault="001764A3" w:rsidP="001764A3">
      <w:pPr>
        <w:pStyle w:val="CommentText1"/>
        <w:ind w:firstLine="0"/>
        <w:jc w:val="left"/>
      </w:pPr>
      <w:r>
        <w:rPr>
          <w:rStyle w:val="CommentReference"/>
        </w:rPr>
        <w:annotationRef/>
      </w:r>
      <w:r>
        <w:rPr>
          <w:lang w:val="en-US"/>
        </w:rPr>
        <w:t xml:space="preserve">But how do we cope when these essential cognitive abilities begin to decline? </w:t>
      </w:r>
    </w:p>
  </w:comment>
  <w:comment w:id="9" w:author="Janka Hauffe" w:date="2025-02-28T10:07:00Z" w:initials="Janka Hau">
    <w:p w14:paraId="1521179D" w14:textId="77777777" w:rsidR="001764A3" w:rsidRDefault="001764A3" w:rsidP="001764A3">
      <w:pPr>
        <w:pStyle w:val="CommentText1"/>
        <w:ind w:firstLine="0"/>
        <w:jc w:val="left"/>
      </w:pPr>
      <w:r>
        <w:rPr>
          <w:rStyle w:val="CommentReference"/>
        </w:rPr>
        <w:annotationRef/>
      </w:r>
      <w:r>
        <w:t>Delete?</w:t>
      </w:r>
    </w:p>
  </w:comment>
  <w:comment w:id="10" w:author="Christian Neumann" w:date="2025-03-10T05:44:00Z" w:initials="Christian">
    <w:p w14:paraId="3193AADE" w14:textId="77777777" w:rsidR="001764A3" w:rsidRDefault="001764A3" w:rsidP="001764A3">
      <w:pPr>
        <w:pStyle w:val="CommentText"/>
      </w:pPr>
      <w:r>
        <w:rPr>
          <w:rStyle w:val="CommentReference"/>
        </w:rPr>
        <w:annotationRef/>
      </w:r>
      <w:r>
        <w:t>Ich weiß nicht, ob wir wirklich „general well being“ oder „quality of life“ mit EPOC messen können und ob das der Fokus deiner Arbeit ist</w:t>
      </w:r>
    </w:p>
  </w:comment>
  <w:comment w:id="8" w:author="Janka Hauffe" w:date="2025-03-27T16:13:00Z" w:initials="JH">
    <w:p w14:paraId="2B8DD6DE" w14:textId="77777777" w:rsidR="005E7177" w:rsidRDefault="005E7177" w:rsidP="005E7177">
      <w:pPr>
        <w:pStyle w:val="CommentText"/>
        <w:ind w:firstLine="0"/>
        <w:jc w:val="left"/>
      </w:pPr>
      <w:r>
        <w:rPr>
          <w:rStyle w:val="CommentReference"/>
        </w:rPr>
        <w:annotationRef/>
      </w:r>
      <w:r>
        <w:t>Hier muss ich noch bearbeiten</w:t>
      </w:r>
    </w:p>
  </w:comment>
  <w:comment w:id="11" w:author="Rolf Hauffe" w:date="2025-03-27T07:54:00Z" w:initials="RH">
    <w:p w14:paraId="61D11D75" w14:textId="5CC6E226" w:rsidR="005C7593" w:rsidRDefault="005C7593">
      <w:pPr>
        <w:pStyle w:val="CommentText"/>
      </w:pPr>
      <w:r>
        <w:rPr>
          <w:rStyle w:val="CommentReference"/>
        </w:rPr>
        <w:annotationRef/>
      </w:r>
      <w:r>
        <w:t>Not happy with this sentence yet</w:t>
      </w:r>
    </w:p>
  </w:comment>
  <w:comment w:id="12" w:author="Rolf Hauffe" w:date="2025-03-27T09:29:00Z" w:initials="RH">
    <w:p w14:paraId="0466A28E" w14:textId="77777777"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CommentReference"/>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1" w:anchor="c22" w:history="1">
        <w:r>
          <w:rPr>
            <w:rStyle w:val="Hyperlink"/>
          </w:rPr>
          <w:t>Evans et al., 2021</w:t>
        </w:r>
      </w:hyperlink>
      <w:r>
        <w:t xml:space="preserve">; </w:t>
      </w:r>
      <w:hyperlink r:id="rId2" w:anchor="c23" w:history="1">
        <w:r>
          <w:rPr>
            <w:rStyle w:val="Hyperlink"/>
          </w:rPr>
          <w:t>Ferrucci et al., 2021</w:t>
        </w:r>
      </w:hyperlink>
      <w:r>
        <w:t xml:space="preserve">; </w:t>
      </w:r>
      <w:hyperlink r:id="rId3" w:anchor="c26" w:history="1">
        <w:r>
          <w:rPr>
            <w:rStyle w:val="Hyperlink"/>
          </w:rPr>
          <w:t>Frontera et al., 2022</w:t>
        </w:r>
      </w:hyperlink>
      <w:r>
        <w:t xml:space="preserve">; </w:t>
      </w:r>
      <w:hyperlink r:id="rId4"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CommentText"/>
      </w:pPr>
    </w:p>
  </w:comment>
  <w:comment w:id="13" w:author="Rolf Hauffe" w:date="2025-03-24T09:04:00Z" w:initials="RH">
    <w:p w14:paraId="1253399F" w14:textId="23E2BC9D" w:rsidR="00133E16" w:rsidRDefault="00133E16">
      <w:pPr>
        <w:pStyle w:val="CommentText"/>
      </w:pPr>
      <w:r>
        <w:rPr>
          <w:rStyle w:val="CommentReference"/>
        </w:rPr>
        <w:annotationRef/>
      </w:r>
      <w:r>
        <w:t>is important to highlight that these meta-analyses not distinguish between cognitive impairments that were subjectively perceived and those that were objectively measured. The incidence rates reported in meta-analyses seem to be higher among studies using objective cognitive tests than those based on subjective reports (</w:t>
      </w:r>
      <w:hyperlink r:id="rId5" w:anchor="c11" w:history="1">
        <w:r>
          <w:rPr>
            <w:rStyle w:val="Hyperlink"/>
          </w:rPr>
          <w:t>Ceban et al., 2022</w:t>
        </w:r>
      </w:hyperlink>
      <w:r>
        <w:t>).</w:t>
      </w:r>
      <w:r w:rsidR="00210A6E">
        <w:br/>
      </w:r>
      <w:r w:rsidR="00210A6E">
        <w:br/>
        <w:t>schild et al. 2023</w:t>
      </w:r>
      <w:r w:rsidR="00210A6E">
        <w:br/>
      </w:r>
    </w:p>
  </w:comment>
  <w:comment w:id="15" w:author="Rolf Hauffe" w:date="2025-03-27T10:08:00Z" w:initials="RH">
    <w:p w14:paraId="7D650F28" w14:textId="4EE815AF" w:rsidR="00934BC3" w:rsidRDefault="00934BC3">
      <w:pPr>
        <w:pStyle w:val="CommentText"/>
      </w:pPr>
      <w:r>
        <w:rPr>
          <w:rStyle w:val="CommentReference"/>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16" w:author="Rolf Hauffe" w:date="2025-03-27T10:23:00Z" w:initials="RH">
    <w:p w14:paraId="574C46FE" w14:textId="500FD67D" w:rsidR="001B60AA" w:rsidRDefault="001B60AA">
      <w:pPr>
        <w:pStyle w:val="CommentText"/>
      </w:pPr>
      <w:r>
        <w:rPr>
          <w:rStyle w:val="CommentReference"/>
        </w:rPr>
        <w:annotationRef/>
      </w:r>
      <w:r w:rsidRPr="00210A6E">
        <w:rPr>
          <w:lang w:val="da-DK"/>
        </w:rPr>
        <w:t>In another study (</w:t>
      </w:r>
      <w:hyperlink r:id="rId6" w:anchor="c36" w:history="1">
        <w:r w:rsidRPr="00210A6E">
          <w:rPr>
            <w:rStyle w:val="Hyperlink"/>
            <w:lang w:val="da-DK"/>
          </w:rPr>
          <w:t>Miskowiak et al., 2021</w:t>
        </w:r>
      </w:hyperlink>
      <w:r w:rsidRPr="00210A6E">
        <w:rPr>
          <w:lang w:val="da-DK"/>
        </w:rPr>
        <w:t>), objective cognitive impairment correlated with SCC,</w:t>
      </w:r>
    </w:p>
  </w:comment>
  <w:comment w:id="17" w:author="Rolf Hauffe" w:date="2025-03-27T10:24:00Z" w:initials="RH">
    <w:p w14:paraId="5E458278" w14:textId="4FEB58B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18" w:author="Janka Hauffe" w:date="2025-03-27T13:06:00Z" w:initials="JH">
    <w:p w14:paraId="207E5F04" w14:textId="77777777" w:rsidR="00265713" w:rsidRDefault="00265713" w:rsidP="00265713">
      <w:pPr>
        <w:pStyle w:val="CommentText"/>
        <w:ind w:firstLine="0"/>
        <w:jc w:val="left"/>
      </w:pPr>
      <w:r>
        <w:rPr>
          <w:rStyle w:val="CommentReference"/>
        </w:rPr>
        <w:annotationRef/>
      </w:r>
      <w:r>
        <w:t>Need a good title</w:t>
      </w:r>
    </w:p>
  </w:comment>
  <w:comment w:id="19" w:author="Janka Hauffe" w:date="2025-03-27T11:48:00Z" w:initials="JH">
    <w:p w14:paraId="5DDD5478" w14:textId="3FEEE6A1" w:rsidR="009C4C78" w:rsidRDefault="009C4C78" w:rsidP="009C4C78">
      <w:pPr>
        <w:pStyle w:val="CommentText"/>
        <w:ind w:firstLine="0"/>
        <w:jc w:val="left"/>
      </w:pPr>
      <w:r>
        <w:rPr>
          <w:rStyle w:val="CommentReference"/>
        </w:rPr>
        <w:annotationRef/>
      </w:r>
      <w:r>
        <w:t>Delte?</w:t>
      </w:r>
    </w:p>
  </w:comment>
  <w:comment w:id="21" w:author="Janka Hauffe" w:date="2025-03-27T12:43:00Z" w:initials="JH">
    <w:p w14:paraId="4EE78214" w14:textId="77777777" w:rsidR="00D52428" w:rsidRDefault="00732125" w:rsidP="00D52428">
      <w:pPr>
        <w:pStyle w:val="CommentText"/>
        <w:ind w:firstLine="0"/>
        <w:jc w:val="left"/>
      </w:pPr>
      <w:r>
        <w:rPr>
          <w:rStyle w:val="CommentReference"/>
        </w:rPr>
        <w:annotationRef/>
      </w:r>
      <w:r w:rsidR="00D52428">
        <w:t>Delete?</w:t>
      </w:r>
    </w:p>
  </w:comment>
  <w:comment w:id="23" w:author="Janka Hauffe" w:date="2025-02-28T11:13:00Z" w:initials="Janka Hau">
    <w:p w14:paraId="28570B4E" w14:textId="44E62CB4" w:rsidR="00B028E8" w:rsidRPr="009861E9" w:rsidRDefault="00B028E8" w:rsidP="00B028E8">
      <w:pPr>
        <w:pStyle w:val="CommentText1"/>
        <w:ind w:firstLine="0"/>
        <w:jc w:val="left"/>
        <w:rPr>
          <w:lang w:val="da-DK"/>
        </w:rPr>
      </w:pPr>
      <w:r>
        <w:rPr>
          <w:rStyle w:val="CommentReference"/>
        </w:rPr>
        <w:annotationRef/>
      </w:r>
      <w:r>
        <w:rPr>
          <w:lang w:val="en-US"/>
        </w:rPr>
        <w:t>.</w:t>
      </w:r>
    </w:p>
  </w:comment>
  <w:comment w:id="22" w:author="Janka Hauffe" w:date="2025-03-27T14:08:00Z" w:initials="JH">
    <w:p w14:paraId="783787AB" w14:textId="77777777" w:rsidR="00B028E8" w:rsidRDefault="00B028E8" w:rsidP="00B028E8">
      <w:pPr>
        <w:pStyle w:val="CommentText"/>
        <w:ind w:firstLine="0"/>
        <w:jc w:val="left"/>
      </w:pPr>
      <w:r>
        <w:rPr>
          <w:rStyle w:val="CommentReference"/>
        </w:rPr>
        <w:annotationRef/>
      </w:r>
      <w:r>
        <w:t>Delete?</w:t>
      </w:r>
    </w:p>
  </w:comment>
  <w:comment w:id="25" w:author="Janka Hauffe" w:date="2025-03-27T16:00:00Z" w:initials="JH">
    <w:p w14:paraId="115D2D1D" w14:textId="77777777" w:rsidR="00D52428" w:rsidRDefault="00D52428" w:rsidP="00D52428">
      <w:pPr>
        <w:pStyle w:val="CommentText"/>
        <w:ind w:firstLine="0"/>
        <w:jc w:val="left"/>
      </w:pPr>
      <w:r>
        <w:rPr>
          <w:rStyle w:val="CommentReference"/>
        </w:rPr>
        <w:annotationRef/>
      </w:r>
      <w:r>
        <w:t>Not happy with this. Maybe just delete?</w:t>
      </w:r>
    </w:p>
  </w:comment>
  <w:comment w:id="26" w:author="Janka Hauffe" w:date="2025-03-27T16:46:00Z" w:initials="JH">
    <w:p w14:paraId="56D4AE61" w14:textId="77777777" w:rsidR="009A7107" w:rsidRDefault="009A7107" w:rsidP="009A7107">
      <w:pPr>
        <w:pStyle w:val="CommentText"/>
        <w:ind w:firstLine="0"/>
        <w:jc w:val="left"/>
      </w:pPr>
      <w:r>
        <w:rPr>
          <w:rStyle w:val="CommentReference"/>
        </w:rPr>
        <w:annotationRef/>
      </w:r>
      <w:r>
        <w:t>Zur Zeit sehr ausgelegt auf cognitive impairment. Ist das komisch?</w:t>
      </w:r>
    </w:p>
  </w:comment>
  <w:comment w:id="27" w:author="Janka Hauffe" w:date="2025-02-12T08:09:00Z" w:initials="JH">
    <w:p w14:paraId="2C5C5769" w14:textId="1D47276F" w:rsidR="00E758F2" w:rsidRDefault="00E758F2" w:rsidP="00E758F2">
      <w:pPr>
        <w:pStyle w:val="CommentText"/>
        <w:ind w:firstLine="0"/>
        <w:jc w:val="left"/>
      </w:pPr>
      <w:r>
        <w:rPr>
          <w:rStyle w:val="CommentReference"/>
        </w:rPr>
        <w:annotationRef/>
      </w:r>
      <w:r>
        <w:rPr>
          <w:rStyle w:val="Absatz-Standardschriftart"/>
          <w:lang w:val="en-US"/>
        </w:rPr>
        <w:t>rewrite</w:t>
      </w:r>
    </w:p>
  </w:comment>
  <w:comment w:id="28" w:author="Janka Hauffe" w:date="2025-03-03T17:37:00Z" w:initials="JH">
    <w:p w14:paraId="620FD0C7" w14:textId="77777777" w:rsidR="00E758F2" w:rsidRDefault="00E758F2" w:rsidP="00E758F2">
      <w:pPr>
        <w:pStyle w:val="CommentText"/>
        <w:ind w:firstLine="0"/>
        <w:jc w:val="left"/>
      </w:pPr>
      <w:r>
        <w:rPr>
          <w:rStyle w:val="CommentReference"/>
        </w:rPr>
        <w:annotationRef/>
      </w:r>
      <w:r>
        <w:rPr>
          <w:rStyle w:val="Absatz-Standardschriftart"/>
          <w:lang w:val="en-US"/>
        </w:rPr>
        <w:t>Delete?</w:t>
      </w:r>
    </w:p>
  </w:comment>
  <w:comment w:id="29" w:author="Janka Hauffe" w:date="2025-02-23T10:51:00Z" w:initials="JH">
    <w:p w14:paraId="13C952EA" w14:textId="77777777" w:rsidR="00E758F2" w:rsidRDefault="00E758F2" w:rsidP="00E758F2">
      <w:pPr>
        <w:pStyle w:val="CommentText"/>
        <w:ind w:firstLine="0"/>
        <w:jc w:val="left"/>
      </w:pPr>
      <w:r>
        <w:rPr>
          <w:rStyle w:val="CommentReference"/>
        </w:rPr>
        <w:annotationRef/>
      </w:r>
      <w:r>
        <w:rPr>
          <w:rStyle w:val="Absatz-Standardschriftart"/>
          <w:lang w:val="en-US"/>
        </w:rPr>
        <w:t>Maybe delete meta-learning from the part before</w:t>
      </w:r>
    </w:p>
  </w:comment>
  <w:comment w:id="30" w:author="Christian Neumann" w:date="2025-03-14T16:25:00Z" w:initials="CN">
    <w:p w14:paraId="7132E10A" w14:textId="3B26D09B" w:rsidR="000E2412" w:rsidRPr="00837253" w:rsidRDefault="000E2412" w:rsidP="000E2412">
      <w:pPr>
        <w:pStyle w:val="CommentText"/>
        <w:rPr>
          <w:lang w:val="en-US"/>
        </w:rPr>
      </w:pPr>
      <w:r>
        <w:rPr>
          <w:rStyle w:val="CommentReference"/>
        </w:rPr>
        <w:annotationRef/>
      </w:r>
      <w:r w:rsidRPr="00837253">
        <w:rPr>
          <w:lang w:val="en-US"/>
        </w:rPr>
        <w:t>Klin</w:t>
      </w:r>
      <w:r>
        <w:rPr>
          <w:lang w:val="en-US"/>
        </w:rPr>
        <w:t>gt nach theoretischem Hintergrund</w:t>
      </w:r>
    </w:p>
  </w:comment>
  <w:comment w:id="31" w:author="Janka Hauffe" w:date="2025-02-26T09:54:00Z" w:initials="JH">
    <w:p w14:paraId="665AD033" w14:textId="77777777" w:rsidR="005A7BCF" w:rsidRDefault="005A7BCF" w:rsidP="005A7BCF">
      <w:pPr>
        <w:pStyle w:val="CommentText"/>
        <w:ind w:firstLine="0"/>
        <w:jc w:val="left"/>
      </w:pPr>
      <w:r>
        <w:rPr>
          <w:rStyle w:val="CommentReference"/>
        </w:rPr>
        <w:annotationRef/>
      </w:r>
      <w:r>
        <w:rPr>
          <w:rStyle w:val="Absatz-Standardschriftart"/>
          <w:lang w:val="en-US"/>
        </w:rPr>
        <w:t>Is it enough if I only mention Attar, 2022 at the end of the paragraph?</w:t>
      </w:r>
    </w:p>
  </w:comment>
  <w:comment w:id="32" w:author="Christian Neumann" w:date="2025-03-10T09:42:00Z" w:initials="CN">
    <w:p w14:paraId="44F23122" w14:textId="77777777" w:rsidR="005A7BCF" w:rsidRDefault="005A7BCF" w:rsidP="005A7BCF">
      <w:pPr>
        <w:pStyle w:val="Kommentartext"/>
      </w:pPr>
      <w:r>
        <w:rPr>
          <w:rStyle w:val="CommentReference"/>
        </w:rPr>
        <w:annotationRef/>
      </w:r>
      <w:r>
        <w:t xml:space="preserve">Du könntest einen einleitenden Satz schreiben nach dem Motto „Attar (2022) defined the frequency band as follows:“ </w:t>
      </w:r>
    </w:p>
  </w:comment>
  <w:comment w:id="33" w:author="Janka Hauffe" w:date="2025-02-26T09:56:00Z" w:initials="JH">
    <w:p w14:paraId="1A53C1D1" w14:textId="77777777" w:rsidR="005A7BCF" w:rsidRDefault="005A7BCF" w:rsidP="005A7BCF">
      <w:pPr>
        <w:pStyle w:val="CommentText"/>
        <w:ind w:firstLine="0"/>
        <w:jc w:val="left"/>
      </w:pPr>
      <w:r>
        <w:rPr>
          <w:rStyle w:val="CommentReference"/>
        </w:rPr>
        <w:annotationRef/>
      </w:r>
      <w:r>
        <w:rPr>
          <w:rStyle w:val="Absatz-Standardschriftart"/>
          <w:lang w:val="en-US"/>
        </w:rPr>
        <w:t>Maybe also mention Gamma?</w:t>
      </w:r>
    </w:p>
  </w:comment>
  <w:comment w:id="34" w:author="Janka Hauffe" w:date="2025-02-26T10:01:00Z" w:initials="JH">
    <w:p w14:paraId="1A3F27F3" w14:textId="77777777" w:rsidR="005A7BCF" w:rsidRDefault="005A7BCF" w:rsidP="005A7BCF">
      <w:pPr>
        <w:pStyle w:val="CommentText"/>
        <w:ind w:firstLine="0"/>
        <w:jc w:val="left"/>
      </w:pPr>
      <w:r>
        <w:rPr>
          <w:rStyle w:val="CommentReference"/>
        </w:rPr>
        <w:annotationRef/>
      </w:r>
      <w:r>
        <w:rPr>
          <w:rStyle w:val="Absatz-Standardschriftart"/>
          <w:lang w:val="en-US"/>
        </w:rPr>
        <w:t>Yes?</w:t>
      </w:r>
    </w:p>
  </w:comment>
  <w:comment w:id="35" w:author="Janka Hauffe" w:date="2025-01-08T17:43:00Z" w:initials="JH">
    <w:p w14:paraId="03EC5186" w14:textId="77777777" w:rsidR="005A7BCF" w:rsidRDefault="005A7BCF" w:rsidP="005A7BCF">
      <w:pPr>
        <w:pStyle w:val="CommentText"/>
        <w:ind w:firstLine="0"/>
        <w:jc w:val="left"/>
      </w:pPr>
      <w:r>
        <w:rPr>
          <w:rStyle w:val="CommentReference"/>
        </w:rPr>
        <w:annotationRef/>
      </w:r>
      <w:r>
        <w:rPr>
          <w:rStyle w:val="Absatz-Standardschriftart"/>
          <w:lang w:val="en-US"/>
        </w:rPr>
        <w:t>akzent</w:t>
      </w:r>
    </w:p>
  </w:comment>
  <w:comment w:id="36" w:author="Janka Hauffe" w:date="2025-02-26T11:21:00Z" w:initials="JH">
    <w:p w14:paraId="1C0036A8" w14:textId="77777777" w:rsidR="005A7BCF" w:rsidRDefault="005A7BCF" w:rsidP="005A7BCF">
      <w:pPr>
        <w:pStyle w:val="CommentText"/>
        <w:ind w:firstLine="0"/>
        <w:jc w:val="left"/>
      </w:pPr>
      <w:r>
        <w:rPr>
          <w:rStyle w:val="CommentReference"/>
        </w:rPr>
        <w:annotationRef/>
      </w:r>
      <w:r>
        <w:rPr>
          <w:rStyle w:val="Absatz-Standardschriftart"/>
          <w:lang w:val="en-US"/>
        </w:rPr>
        <w:t>Here?</w:t>
      </w:r>
    </w:p>
  </w:comment>
  <w:comment w:id="37" w:author="Janka Hauffe" w:date="2025-03-03T17:41:00Z" w:initials="JH">
    <w:p w14:paraId="4F3D8E9E" w14:textId="77777777" w:rsidR="005A7BCF" w:rsidRDefault="005A7BCF" w:rsidP="005A7BCF">
      <w:pPr>
        <w:pStyle w:val="CommentText"/>
        <w:ind w:firstLine="0"/>
        <w:jc w:val="left"/>
      </w:pPr>
      <w:r>
        <w:rPr>
          <w:rStyle w:val="CommentReference"/>
        </w:rPr>
        <w:annotationRef/>
      </w:r>
      <w:r>
        <w:rPr>
          <w:rStyle w:val="Absatz-Standardschriftart"/>
          <w:lang w:val="en-US"/>
        </w:rPr>
        <w:t>Why?</w:t>
      </w:r>
    </w:p>
  </w:comment>
  <w:comment w:id="38" w:author="Christian Neumann" w:date="2025-03-10T09:58:00Z" w:initials="CN">
    <w:p w14:paraId="07951719" w14:textId="77777777" w:rsidR="005A7BCF" w:rsidRDefault="005A7BCF" w:rsidP="005A7BCF">
      <w:pPr>
        <w:pStyle w:val="Kommentartext"/>
      </w:pPr>
      <w:r>
        <w:rPr>
          <w:rStyle w:val="CommentReference"/>
        </w:rPr>
        <w:annotationRef/>
      </w:r>
      <w:r>
        <w:t>Gute Frage, basierend auf deinem theoretischen Hintergrund gibt es wohl keinen Grund sich nicht alle 4 Frequenzbänder anzugucken :D</w:t>
      </w:r>
      <w:r>
        <w:br/>
        <w:t xml:space="preserve">Aber zum aktuellen Zeitpunkt fehlt auch noch die Begründung, wieso du die das resting state anguckst… Das kommt jetzt im nächsten Abschnitt, aber denk auch hier nochmal über roten Faden und Struktur nach </w:t>
      </w:r>
    </w:p>
  </w:comment>
  <w:comment w:id="39" w:author="Janka Hauffe" w:date="2025-02-26T13:25:00Z" w:initials="JH">
    <w:p w14:paraId="7DA3C96F" w14:textId="77777777" w:rsidR="005A7BCF" w:rsidRDefault="005A7BCF" w:rsidP="005A7BCF">
      <w:pPr>
        <w:pStyle w:val="CommentText"/>
        <w:ind w:firstLine="0"/>
        <w:jc w:val="left"/>
      </w:pPr>
      <w:r>
        <w:rPr>
          <w:rStyle w:val="CommentReference"/>
        </w:rPr>
        <w:annotationRef/>
      </w:r>
      <w:r>
        <w:rPr>
          <w:rStyle w:val="Absatz-Standardschriftart"/>
          <w:lang w:val="da-DK"/>
        </w:rPr>
        <w:t>And some</w:t>
      </w:r>
    </w:p>
  </w:comment>
  <w:comment w:id="40" w:author="Janka Hauffe" w:date="2025-03-03T17:43:00Z" w:initials="JH">
    <w:p w14:paraId="0F739FBD" w14:textId="77777777" w:rsidR="005A7BCF" w:rsidRDefault="005A7BCF" w:rsidP="005A7BCF">
      <w:pPr>
        <w:pStyle w:val="CommentText"/>
        <w:ind w:firstLine="0"/>
        <w:jc w:val="left"/>
      </w:pPr>
      <w:r>
        <w:rPr>
          <w:rStyle w:val="CommentReference"/>
        </w:rPr>
        <w:annotationRef/>
      </w:r>
      <w:r>
        <w:rPr>
          <w:rStyle w:val="Absatz-Standardschriftart"/>
          <w:lang w:val="en-US"/>
        </w:rPr>
        <w:t xml:space="preserve">No idea </w:t>
      </w:r>
      <w:r>
        <w:t>😃</w:t>
      </w:r>
    </w:p>
  </w:comment>
  <w:comment w:id="41" w:author="Janka Hauffe" w:date="2025-03-03T17:43:00Z" w:initials="JH">
    <w:p w14:paraId="61C3C53D" w14:textId="77777777" w:rsidR="005A7BCF" w:rsidRDefault="005A7BCF" w:rsidP="005A7BCF">
      <w:pPr>
        <w:pStyle w:val="CommentText"/>
        <w:ind w:firstLine="0"/>
        <w:jc w:val="left"/>
      </w:pPr>
      <w:r>
        <w:rPr>
          <w:rStyle w:val="CommentReference"/>
        </w:rPr>
        <w:annotationRef/>
      </w:r>
      <w:r>
        <w:rPr>
          <w:rStyle w:val="Absatz-Standardschriftart"/>
          <w:lang w:val="en-US"/>
        </w:rPr>
        <w:t>I use however quite alot</w:t>
      </w:r>
    </w:p>
  </w:comment>
  <w:comment w:id="42" w:author="Janka Hauffe" w:date="2025-03-03T17:43:00Z" w:initials="JH">
    <w:p w14:paraId="2E729C1D" w14:textId="77777777" w:rsidR="005A7BCF" w:rsidRDefault="005A7BCF" w:rsidP="005A7BCF">
      <w:pPr>
        <w:pStyle w:val="CommentText"/>
        <w:ind w:firstLine="0"/>
        <w:jc w:val="left"/>
      </w:pPr>
      <w:r>
        <w:rPr>
          <w:rStyle w:val="CommentReference"/>
        </w:rPr>
        <w:annotationRef/>
      </w:r>
      <w:r>
        <w:rPr>
          <w:rStyle w:val="Absatz-Standardschriftart"/>
          <w:lang w:val="en-US"/>
        </w:rPr>
        <w:t xml:space="preserve">No idea </w:t>
      </w:r>
      <w:r>
        <w:t>😃</w:t>
      </w:r>
    </w:p>
  </w:comment>
  <w:comment w:id="43" w:author="Janka Hauffe" w:date="2025-02-27T18:14:00Z" w:initials="JH">
    <w:p w14:paraId="7DDBCE09" w14:textId="77777777" w:rsidR="005A7BCF" w:rsidRDefault="005A7BCF" w:rsidP="005A7BCF">
      <w:pPr>
        <w:pStyle w:val="CommentText"/>
        <w:ind w:firstLine="0"/>
        <w:jc w:val="left"/>
      </w:pPr>
      <w:r>
        <w:rPr>
          <w:rStyle w:val="CommentReference"/>
        </w:rPr>
        <w:annotationRef/>
      </w:r>
      <w:r>
        <w:rPr>
          <w:rStyle w:val="Absatz-Standardschriftart"/>
          <w:lang w:val="en-US"/>
        </w:rPr>
        <w:t xml:space="preserve">Concluded? </w:t>
      </w:r>
    </w:p>
  </w:comment>
  <w:comment w:id="44" w:author="Janka Hauffe" w:date="2025-02-28T07:53:00Z" w:initials="JH">
    <w:p w14:paraId="747C36BD" w14:textId="77777777" w:rsidR="005A7BCF" w:rsidRDefault="005A7BCF" w:rsidP="005A7BCF">
      <w:pPr>
        <w:pStyle w:val="CommentText"/>
        <w:ind w:firstLine="0"/>
        <w:jc w:val="left"/>
      </w:pPr>
      <w:r>
        <w:rPr>
          <w:rStyle w:val="CommentReference"/>
        </w:rPr>
        <w:annotationRef/>
      </w:r>
      <w:r>
        <w:rPr>
          <w:rStyle w:val="Absatz-Standardschriftart"/>
          <w:lang w:val="en-US"/>
        </w:rPr>
        <w:t>I have information still from the review… how to cite?</w:t>
      </w:r>
    </w:p>
  </w:comment>
  <w:comment w:id="45" w:author="Christian Neumann" w:date="2025-03-10T10:04:00Z" w:initials="CN">
    <w:p w14:paraId="5C4CDA15" w14:textId="77777777" w:rsidR="005A7BCF" w:rsidRDefault="005A7BCF" w:rsidP="005A7BCF">
      <w:pPr>
        <w:pStyle w:val="Kommentartext"/>
      </w:pPr>
      <w:r>
        <w:rPr>
          <w:rStyle w:val="CommentReference"/>
        </w:rPr>
        <w:annotationRef/>
      </w:r>
      <w:r>
        <w:t xml:space="preserve">Interessante Aussage! </w:t>
      </w:r>
      <w:r>
        <w:br/>
      </w:r>
      <w:r>
        <w:br/>
        <w:t>Am einfachsten wäre, wenn du das Paper einfach liest und es dann direkt zitierst.</w:t>
      </w:r>
    </w:p>
  </w:comment>
  <w:comment w:id="46" w:author="Janka Hauffe" w:date="2025-02-28T08:27:00Z" w:initials="JH">
    <w:p w14:paraId="0B57475A" w14:textId="77777777" w:rsidR="005A7BCF" w:rsidRDefault="005A7BCF" w:rsidP="005A7BCF">
      <w:pPr>
        <w:pStyle w:val="CommentText"/>
        <w:ind w:firstLine="0"/>
        <w:jc w:val="left"/>
      </w:pPr>
      <w:r>
        <w:rPr>
          <w:rStyle w:val="CommentReference"/>
        </w:rPr>
        <w:annotationRef/>
      </w:r>
      <w:r>
        <w:t>Delete?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2CE17A" w15:done="1"/>
  <w15:commentEx w15:paraId="04A11A78" w15:done="1"/>
  <w15:commentEx w15:paraId="33811D06" w15:done="0"/>
  <w15:commentEx w15:paraId="1663FE57" w15:done="1"/>
  <w15:commentEx w15:paraId="1521179D" w15:done="0"/>
  <w15:commentEx w15:paraId="3193AADE" w15:done="0"/>
  <w15:commentEx w15:paraId="2B8DD6DE" w15:done="0"/>
  <w15:commentEx w15:paraId="61D11D75" w15:done="0"/>
  <w15:commentEx w15:paraId="2381BDC0" w15:done="0"/>
  <w15:commentEx w15:paraId="1253399F" w15:done="1"/>
  <w15:commentEx w15:paraId="7D650F28" w15:done="0"/>
  <w15:commentEx w15:paraId="574C46FE" w15:done="1"/>
  <w15:commentEx w15:paraId="5E458278" w15:done="0"/>
  <w15:commentEx w15:paraId="207E5F04" w15:done="0"/>
  <w15:commentEx w15:paraId="5DDD5478" w15:done="0"/>
  <w15:commentEx w15:paraId="4EE78214" w15:done="0"/>
  <w15:commentEx w15:paraId="28570B4E" w15:done="0"/>
  <w15:commentEx w15:paraId="783787AB" w15:done="0"/>
  <w15:commentEx w15:paraId="115D2D1D" w15:done="0"/>
  <w15:commentEx w15:paraId="56D4AE61" w15:done="0"/>
  <w15:commentEx w15:paraId="2C5C5769" w15:done="0"/>
  <w15:commentEx w15:paraId="620FD0C7" w15:done="0"/>
  <w15:commentEx w15:paraId="13C952EA" w15:done="0"/>
  <w15:commentEx w15:paraId="7132E10A" w15:done="1"/>
  <w15:commentEx w15:paraId="665AD033" w15:done="0"/>
  <w15:commentEx w15:paraId="44F23122" w15:done="0"/>
  <w15:commentEx w15:paraId="1A53C1D1" w15:done="0"/>
  <w15:commentEx w15:paraId="1A3F27F3" w15:done="0"/>
  <w15:commentEx w15:paraId="03EC5186" w15:done="0"/>
  <w15:commentEx w15:paraId="1C0036A8" w15:done="0"/>
  <w15:commentEx w15:paraId="4F3D8E9E" w15:done="0"/>
  <w15:commentEx w15:paraId="07951719" w15:done="0"/>
  <w15:commentEx w15:paraId="7DA3C96F" w15:done="0"/>
  <w15:commentEx w15:paraId="0F739FBD" w15:done="0"/>
  <w15:commentEx w15:paraId="61C3C53D" w15:done="0"/>
  <w15:commentEx w15:paraId="2E729C1D" w15:done="0"/>
  <w15:commentEx w15:paraId="7DDBCE09" w15:done="0"/>
  <w15:commentEx w15:paraId="747C36BD" w15:done="0"/>
  <w15:commentEx w15:paraId="5C4CDA15" w15:done="0"/>
  <w15:commentEx w15:paraId="0B5747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FB2936" w16cex:dateUtc="2025-03-27T15:13:00Z"/>
  <w16cex:commentExtensible w16cex:durableId="2B8F82B6" w16cex:dateUtc="2025-03-27T06:54:00Z"/>
  <w16cex:commentExtensible w16cex:durableId="2B8F9912" w16cex:dateUtc="2025-03-27T08:29:00Z"/>
  <w16cex:commentExtensible w16cex:durableId="2B8B9E87" w16cex:dateUtc="2025-03-24T08:04:00Z"/>
  <w16cex:commentExtensible w16cex:durableId="2B8FA226" w16cex:dateUtc="2025-03-27T09:08:00Z"/>
  <w16cex:commentExtensible w16cex:durableId="2B8FA58D" w16cex:dateUtc="2025-03-27T09:23:00Z"/>
  <w16cex:commentExtensible w16cex:durableId="2B8FA5DC" w16cex:dateUtc="2025-03-27T09:24:00Z"/>
  <w16cex:commentExtensible w16cex:durableId="26A12EAE" w16cex:dateUtc="2025-03-27T12:06:00Z"/>
  <w16cex:commentExtensible w16cex:durableId="0C6B8CFF" w16cex:dateUtc="2025-03-27T10:48:00Z"/>
  <w16cex:commentExtensible w16cex:durableId="6A82DD62" w16cex:dateUtc="2025-03-27T11:43:00Z"/>
  <w16cex:commentExtensible w16cex:durableId="389C6568" w16cex:dateUtc="2025-03-27T13:08:00Z"/>
  <w16cex:commentExtensible w16cex:durableId="31408D37" w16cex:dateUtc="2025-03-27T15:00:00Z"/>
  <w16cex:commentExtensible w16cex:durableId="1C805449" w16cex:dateUtc="2025-03-27T15:46:00Z"/>
  <w16cex:commentExtensible w16cex:durableId="2B7ED6F5" w16cex:dateUtc="2025-03-14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2CE17A" w16cid:durableId="2B82DE86"/>
  <w16cid:commentId w16cid:paraId="04A11A78" w16cid:durableId="334C55B0"/>
  <w16cid:commentId w16cid:paraId="33811D06" w16cid:durableId="2B759607"/>
  <w16cid:commentId w16cid:paraId="1663FE57" w16cid:durableId="1533422D"/>
  <w16cid:commentId w16cid:paraId="1521179D" w16cid:durableId="5197B1D0"/>
  <w16cid:commentId w16cid:paraId="3193AADE" w16cid:durableId="2B78FAB3"/>
  <w16cid:commentId w16cid:paraId="2B8DD6DE" w16cid:durableId="67FB2936"/>
  <w16cid:commentId w16cid:paraId="61D11D75" w16cid:durableId="2B8F82B6"/>
  <w16cid:commentId w16cid:paraId="2381BDC0" w16cid:durableId="2B8F9912"/>
  <w16cid:commentId w16cid:paraId="1253399F" w16cid:durableId="2B8B9E87"/>
  <w16cid:commentId w16cid:paraId="7D650F28" w16cid:durableId="2B8FA226"/>
  <w16cid:commentId w16cid:paraId="574C46FE" w16cid:durableId="2B8FA58D"/>
  <w16cid:commentId w16cid:paraId="5E458278" w16cid:durableId="2B8FA5DC"/>
  <w16cid:commentId w16cid:paraId="207E5F04" w16cid:durableId="26A12EAE"/>
  <w16cid:commentId w16cid:paraId="5DDD5478" w16cid:durableId="0C6B8CFF"/>
  <w16cid:commentId w16cid:paraId="4EE78214" w16cid:durableId="6A82DD62"/>
  <w16cid:commentId w16cid:paraId="28570B4E" w16cid:durableId="2E94386E"/>
  <w16cid:commentId w16cid:paraId="783787AB" w16cid:durableId="389C6568"/>
  <w16cid:commentId w16cid:paraId="115D2D1D" w16cid:durableId="31408D37"/>
  <w16cid:commentId w16cid:paraId="56D4AE61" w16cid:durableId="1C805449"/>
  <w16cid:commentId w16cid:paraId="2C5C5769" w16cid:durableId="5D0A8F25"/>
  <w16cid:commentId w16cid:paraId="620FD0C7" w16cid:durableId="3B73ADE4"/>
  <w16cid:commentId w16cid:paraId="13C952EA" w16cid:durableId="3FD549DA"/>
  <w16cid:commentId w16cid:paraId="7132E10A" w16cid:durableId="2B7ED6F5"/>
  <w16cid:commentId w16cid:paraId="665AD033" w16cid:durableId="5A0613E1"/>
  <w16cid:commentId w16cid:paraId="44F23122" w16cid:durableId="3836D05D"/>
  <w16cid:commentId w16cid:paraId="1A53C1D1" w16cid:durableId="1CA7C8DA"/>
  <w16cid:commentId w16cid:paraId="1A3F27F3" w16cid:durableId="5A1344D2"/>
  <w16cid:commentId w16cid:paraId="03EC5186" w16cid:durableId="45336CE9"/>
  <w16cid:commentId w16cid:paraId="1C0036A8" w16cid:durableId="2C0A964D"/>
  <w16cid:commentId w16cid:paraId="4F3D8E9E" w16cid:durableId="57D77744"/>
  <w16cid:commentId w16cid:paraId="07951719" w16cid:durableId="22BE3E4B"/>
  <w16cid:commentId w16cid:paraId="7DA3C96F" w16cid:durableId="1DFCF9F5"/>
  <w16cid:commentId w16cid:paraId="0F739FBD" w16cid:durableId="1F313025"/>
  <w16cid:commentId w16cid:paraId="61C3C53D" w16cid:durableId="76BBE2DB"/>
  <w16cid:commentId w16cid:paraId="2E729C1D" w16cid:durableId="528AED94"/>
  <w16cid:commentId w16cid:paraId="7DDBCE09" w16cid:durableId="534DAC39"/>
  <w16cid:commentId w16cid:paraId="747C36BD" w16cid:durableId="0B1C0903"/>
  <w16cid:commentId w16cid:paraId="5C4CDA15" w16cid:durableId="436FD8BB"/>
  <w16cid:commentId w16cid:paraId="0B57475A" w16cid:durableId="187F3F4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A8B740" w14:textId="77777777" w:rsidR="004F30EF" w:rsidRDefault="004F30EF" w:rsidP="006C7BA1">
      <w:pPr>
        <w:spacing w:after="0" w:line="240" w:lineRule="auto"/>
      </w:pPr>
      <w:r>
        <w:separator/>
      </w:r>
    </w:p>
  </w:endnote>
  <w:endnote w:type="continuationSeparator" w:id="0">
    <w:p w14:paraId="211F3709" w14:textId="77777777" w:rsidR="004F30EF" w:rsidRDefault="004F30EF"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1E097" w14:textId="77777777" w:rsidR="004F30EF" w:rsidRDefault="004F30EF" w:rsidP="006C7BA1">
      <w:pPr>
        <w:spacing w:after="0" w:line="240" w:lineRule="auto"/>
      </w:pPr>
      <w:r>
        <w:separator/>
      </w:r>
    </w:p>
  </w:footnote>
  <w:footnote w:type="continuationSeparator" w:id="0">
    <w:p w14:paraId="54A5595F" w14:textId="77777777" w:rsidR="004F30EF" w:rsidRDefault="004F30EF"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46560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65E96"/>
    <w:rsid w:val="000909C0"/>
    <w:rsid w:val="000A265A"/>
    <w:rsid w:val="000B4D9B"/>
    <w:rsid w:val="000E2412"/>
    <w:rsid w:val="001213E0"/>
    <w:rsid w:val="00122266"/>
    <w:rsid w:val="001225F3"/>
    <w:rsid w:val="00126340"/>
    <w:rsid w:val="00133E16"/>
    <w:rsid w:val="00145EF6"/>
    <w:rsid w:val="00161A61"/>
    <w:rsid w:val="001764A3"/>
    <w:rsid w:val="00183B02"/>
    <w:rsid w:val="001A1FF8"/>
    <w:rsid w:val="001B1F0D"/>
    <w:rsid w:val="001B60AA"/>
    <w:rsid w:val="001C5FCC"/>
    <w:rsid w:val="001E232E"/>
    <w:rsid w:val="00201D35"/>
    <w:rsid w:val="00210A6E"/>
    <w:rsid w:val="00212593"/>
    <w:rsid w:val="00240F32"/>
    <w:rsid w:val="00243F84"/>
    <w:rsid w:val="002504CA"/>
    <w:rsid w:val="00265713"/>
    <w:rsid w:val="00281061"/>
    <w:rsid w:val="002824C1"/>
    <w:rsid w:val="002E0A0A"/>
    <w:rsid w:val="002E6C1A"/>
    <w:rsid w:val="002F480E"/>
    <w:rsid w:val="00313F17"/>
    <w:rsid w:val="003177AE"/>
    <w:rsid w:val="003241B8"/>
    <w:rsid w:val="003915F5"/>
    <w:rsid w:val="003A2610"/>
    <w:rsid w:val="003A2B9F"/>
    <w:rsid w:val="00401118"/>
    <w:rsid w:val="0045041C"/>
    <w:rsid w:val="00454477"/>
    <w:rsid w:val="00493AAB"/>
    <w:rsid w:val="004F30EF"/>
    <w:rsid w:val="0052428A"/>
    <w:rsid w:val="00531E0D"/>
    <w:rsid w:val="005848AD"/>
    <w:rsid w:val="005A6EAB"/>
    <w:rsid w:val="005A7BCF"/>
    <w:rsid w:val="005B7D67"/>
    <w:rsid w:val="005C7593"/>
    <w:rsid w:val="005C7DD9"/>
    <w:rsid w:val="005D22DE"/>
    <w:rsid w:val="005D4E3F"/>
    <w:rsid w:val="005E7177"/>
    <w:rsid w:val="00602C41"/>
    <w:rsid w:val="0060430E"/>
    <w:rsid w:val="00623293"/>
    <w:rsid w:val="0062344B"/>
    <w:rsid w:val="0063492B"/>
    <w:rsid w:val="00653B55"/>
    <w:rsid w:val="0068523F"/>
    <w:rsid w:val="00685658"/>
    <w:rsid w:val="00687C5F"/>
    <w:rsid w:val="00691C56"/>
    <w:rsid w:val="006B2A8D"/>
    <w:rsid w:val="006C7BA1"/>
    <w:rsid w:val="006D1204"/>
    <w:rsid w:val="006F428C"/>
    <w:rsid w:val="007067D9"/>
    <w:rsid w:val="00732125"/>
    <w:rsid w:val="0075407F"/>
    <w:rsid w:val="007725ED"/>
    <w:rsid w:val="007A7FF0"/>
    <w:rsid w:val="007B47CD"/>
    <w:rsid w:val="007C7C38"/>
    <w:rsid w:val="007D5AD4"/>
    <w:rsid w:val="008032D5"/>
    <w:rsid w:val="00816493"/>
    <w:rsid w:val="0081653E"/>
    <w:rsid w:val="008206C5"/>
    <w:rsid w:val="008375C7"/>
    <w:rsid w:val="00852F1B"/>
    <w:rsid w:val="0087747C"/>
    <w:rsid w:val="008D61F5"/>
    <w:rsid w:val="008E3FC4"/>
    <w:rsid w:val="009069F1"/>
    <w:rsid w:val="009138FB"/>
    <w:rsid w:val="00917A70"/>
    <w:rsid w:val="00923C54"/>
    <w:rsid w:val="00934BC3"/>
    <w:rsid w:val="009649B5"/>
    <w:rsid w:val="00971E36"/>
    <w:rsid w:val="00991352"/>
    <w:rsid w:val="009A20BE"/>
    <w:rsid w:val="009A7107"/>
    <w:rsid w:val="009C4C78"/>
    <w:rsid w:val="009C59E8"/>
    <w:rsid w:val="00A062C1"/>
    <w:rsid w:val="00A07299"/>
    <w:rsid w:val="00A15D4E"/>
    <w:rsid w:val="00A51D47"/>
    <w:rsid w:val="00A54F37"/>
    <w:rsid w:val="00A602E2"/>
    <w:rsid w:val="00A96CCD"/>
    <w:rsid w:val="00AA2ED8"/>
    <w:rsid w:val="00B028E8"/>
    <w:rsid w:val="00B22827"/>
    <w:rsid w:val="00B2299D"/>
    <w:rsid w:val="00B3277C"/>
    <w:rsid w:val="00B34B6A"/>
    <w:rsid w:val="00B52A5E"/>
    <w:rsid w:val="00BD49C8"/>
    <w:rsid w:val="00BE2036"/>
    <w:rsid w:val="00C04C6D"/>
    <w:rsid w:val="00C44D2B"/>
    <w:rsid w:val="00C52CF0"/>
    <w:rsid w:val="00C80A83"/>
    <w:rsid w:val="00C80E67"/>
    <w:rsid w:val="00CA267A"/>
    <w:rsid w:val="00CA3B58"/>
    <w:rsid w:val="00CB3C7D"/>
    <w:rsid w:val="00CB616D"/>
    <w:rsid w:val="00CC07B9"/>
    <w:rsid w:val="00CD5893"/>
    <w:rsid w:val="00CE4DAB"/>
    <w:rsid w:val="00CF53E3"/>
    <w:rsid w:val="00CF5702"/>
    <w:rsid w:val="00D17223"/>
    <w:rsid w:val="00D20C2C"/>
    <w:rsid w:val="00D2494A"/>
    <w:rsid w:val="00D2570E"/>
    <w:rsid w:val="00D25A76"/>
    <w:rsid w:val="00D44ED2"/>
    <w:rsid w:val="00D52428"/>
    <w:rsid w:val="00D566D8"/>
    <w:rsid w:val="00D85E41"/>
    <w:rsid w:val="00D864B4"/>
    <w:rsid w:val="00DA4875"/>
    <w:rsid w:val="00DA57A0"/>
    <w:rsid w:val="00DB4BEA"/>
    <w:rsid w:val="00DD220A"/>
    <w:rsid w:val="00DE3495"/>
    <w:rsid w:val="00DF439E"/>
    <w:rsid w:val="00E135C6"/>
    <w:rsid w:val="00E151A8"/>
    <w:rsid w:val="00E30559"/>
    <w:rsid w:val="00E322B6"/>
    <w:rsid w:val="00E34070"/>
    <w:rsid w:val="00E42720"/>
    <w:rsid w:val="00E4653E"/>
    <w:rsid w:val="00E57DB7"/>
    <w:rsid w:val="00E67881"/>
    <w:rsid w:val="00E72AB9"/>
    <w:rsid w:val="00E758F2"/>
    <w:rsid w:val="00E82E90"/>
    <w:rsid w:val="00E903D4"/>
    <w:rsid w:val="00EB03BF"/>
    <w:rsid w:val="00EC6F10"/>
    <w:rsid w:val="00EC79C3"/>
    <w:rsid w:val="00ED33B7"/>
    <w:rsid w:val="00ED4388"/>
    <w:rsid w:val="00EE1BDC"/>
    <w:rsid w:val="00EE4F9A"/>
    <w:rsid w:val="00EF2A5D"/>
    <w:rsid w:val="00EF7A69"/>
    <w:rsid w:val="00F01D4B"/>
    <w:rsid w:val="00F11327"/>
    <w:rsid w:val="00F436FC"/>
    <w:rsid w:val="00F45E7B"/>
    <w:rsid w:val="00F7292F"/>
    <w:rsid w:val="00F74FE8"/>
    <w:rsid w:val="00F938B5"/>
    <w:rsid w:val="00FC358C"/>
    <w:rsid w:val="00FE3D8D"/>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semiHidden/>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 w:type="character" w:styleId="Strong">
    <w:name w:val="Strong"/>
    <w:basedOn w:val="DefaultParagraphFont"/>
    <w:uiPriority w:val="22"/>
    <w:qFormat/>
    <w:rsid w:val="008D61F5"/>
    <w:rPr>
      <w:b/>
      <w:bCs/>
    </w:rPr>
  </w:style>
  <w:style w:type="paragraph" w:customStyle="1" w:styleId="Standard">
    <w:name w:val="Standard"/>
    <w:rsid w:val="00E758F2"/>
    <w:pPr>
      <w:suppressAutoHyphens/>
      <w:autoSpaceDN w:val="0"/>
      <w:spacing w:after="0" w:line="360" w:lineRule="auto"/>
      <w:ind w:firstLine="709"/>
      <w:jc w:val="both"/>
      <w:textAlignment w:val="baseline"/>
    </w:pPr>
    <w:rPr>
      <w:rFonts w:ascii="Calibri" w:eastAsia="Calibri" w:hAnsi="Calibri" w:cs="Times New Roman"/>
      <w:kern w:val="3"/>
    </w:rPr>
  </w:style>
  <w:style w:type="character" w:customStyle="1" w:styleId="Absatz-Standardschriftart">
    <w:name w:val="Absatz-Standardschriftart"/>
    <w:rsid w:val="00E758F2"/>
  </w:style>
  <w:style w:type="paragraph" w:customStyle="1" w:styleId="Kommentartext">
    <w:name w:val="Kommentartext"/>
    <w:basedOn w:val="Standard"/>
    <w:rsid w:val="009A7107"/>
    <w:pPr>
      <w:spacing w:line="240" w:lineRule="auto"/>
    </w:pPr>
    <w:rPr>
      <w:sz w:val="20"/>
      <w:szCs w:val="20"/>
    </w:rPr>
  </w:style>
  <w:style w:type="character" w:customStyle="1" w:styleId="Kommentarzeichen">
    <w:name w:val="Kommentarzeichen"/>
    <w:basedOn w:val="Absatz-Standardschriftart"/>
    <w:rsid w:val="009A7107"/>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content.hogrefe.com/doi/full/10.1024/1016-264X/a000373" TargetMode="External"/><Relationship Id="rId2" Type="http://schemas.openxmlformats.org/officeDocument/2006/relationships/hyperlink" Target="https://econtent.hogrefe.com/doi/full/10.1024/1016-264X/a000373" TargetMode="External"/><Relationship Id="rId1" Type="http://schemas.openxmlformats.org/officeDocument/2006/relationships/hyperlink" Target="https://econtent.hogrefe.com/doi/full/10.1024/1016-264X/a000373" TargetMode="External"/><Relationship Id="rId6" Type="http://schemas.openxmlformats.org/officeDocument/2006/relationships/hyperlink" Target="https://econtent.hogrefe.com/doi/full/10.1024/1016-264X/a000374" TargetMode="External"/><Relationship Id="rId5" Type="http://schemas.openxmlformats.org/officeDocument/2006/relationships/hyperlink" Target="https://econtent.hogrefe.com/doi/full/10.1024/1016-264X/a000374"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3496</Words>
  <Characters>22032</Characters>
  <Application>Microsoft Office Word</Application>
  <DocSecurity>0</DocSecurity>
  <Lines>183</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41</cp:revision>
  <dcterms:created xsi:type="dcterms:W3CDTF">2025-03-24T14:52:00Z</dcterms:created>
  <dcterms:modified xsi:type="dcterms:W3CDTF">2025-03-27T16:58:00Z</dcterms:modified>
</cp:coreProperties>
</file>