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2000"/>
        <w:ind/>
        <w:rPr/>
      </w:pPr>
      <w:r/>
      <w:r/>
    </w:p>
    <w:p>
      <w:pPr>
        <w:pBdr/>
        <w:spacing w:after="60"/>
        <w:ind/>
        <w:jc w:val="center"/>
        <w:rPr/>
      </w:pPr>
      <w:r>
        <w:rPr>
          <w:rFonts w:ascii="Calibri" w:hAnsi="Calibri" w:eastAsia="Calibri" w:cs="Calibri"/>
          <w:b/>
          <w:bCs/>
          <w:color w:val="1f4e79"/>
          <w:sz w:val="72"/>
          <w:szCs w:val="72"/>
        </w:rPr>
        <w:t xml:space="preserve">SQL Server AlwaysOn</w:t>
      </w:r>
      <w:r/>
    </w:p>
    <w:p>
      <w:pPr>
        <w:pBdr/>
        <w:spacing w:after="200"/>
        <w:ind/>
        <w:jc w:val="center"/>
        <w:rPr/>
      </w:pPr>
      <w:r>
        <w:rPr>
          <w:rFonts w:ascii="Calibri" w:hAnsi="Calibri" w:eastAsia="Calibri" w:cs="Calibri"/>
          <w:b/>
          <w:bCs/>
          <w:color w:val="c55a11"/>
          <w:sz w:val="72"/>
          <w:szCs w:val="72"/>
        </w:rPr>
        <w:t xml:space="preserve">Setup Tool</w:t>
      </w:r>
      <w:r/>
    </w:p>
    <w:p>
      <w:pPr>
        <w:pBdr/>
        <w:spacing w:after="80"/>
        <w:ind/>
        <w:jc w:val="center"/>
        <w:rPr/>
      </w:pPr>
      <w:r>
        <w:rPr>
          <w:rFonts w:ascii="Calibri" w:hAnsi="Calibri" w:eastAsia="Calibri" w:cs="Calibri"/>
          <w:color w:val="595959"/>
          <w:sz w:val="36"/>
          <w:szCs w:val="36"/>
        </w:rPr>
        <w:t xml:space="preserve">Anwenderhandbuch</w:t>
      </w:r>
      <w:r/>
    </w:p>
    <w:p>
      <w:pPr>
        <w:pBdr/>
        <w:spacing w:after="1200"/>
        <w:ind/>
        <w:jc w:val="center"/>
        <w:rPr>
          <w:rFonts w:ascii="Calibri" w:hAnsi="Calibri" w:eastAsia="Calibri" w:cs="Calibri"/>
          <w:color w:val="595959"/>
          <w:sz w:val="24"/>
          <w:szCs w:val="24"/>
          <w:highlight w:val="none"/>
        </w:rPr>
      </w:pPr>
      <w:r>
        <w:rPr>
          <w:rFonts w:ascii="Calibri" w:hAnsi="Calibri" w:eastAsia="Calibri" w:cs="Calibri"/>
          <w:color w:val="595959"/>
          <w:sz w:val="24"/>
          <w:szCs w:val="24"/>
        </w:rPr>
        <w:t xml:space="preserve">Version 1.0.0  |  April 2026</w:t>
      </w:r>
      <w:r/>
    </w:p>
    <w:p w14:paraId="7DB002C0">
      <w:pPr>
        <w:pBdr/>
        <w:spacing w:after="1200"/>
        <w:ind/>
        <w:jc w:val="center"/>
        <w:rPr/>
      </w:pPr>
      <w:r>
        <w:rPr>
          <w:rFonts w:ascii="Calibri" w:hAnsi="Calibri" w:eastAsia="Calibri" w:cs="Calibri"/>
          <w:color w:val="595959"/>
          <w:sz w:val="24"/>
          <w:szCs w:val="24"/>
          <w:highlight w:val="none"/>
          <w:lang w:val="de-DE"/>
        </w:rPr>
        <w:t xml:space="preserve">http:://www.powershelldba.de</w:t>
      </w:r>
      <w:r>
        <w:rPr>
          <w:rFonts w:ascii="Calibri" w:hAnsi="Calibri" w:eastAsia="Calibri" w:cs="Calibri"/>
          <w:color w:val="595959"/>
          <w:sz w:val="24"/>
          <w:szCs w:val="24"/>
          <w:highlight w:val="none"/>
        </w:rPr>
      </w:r>
      <w:r>
        <w:rPr>
          <w:rFonts w:ascii="Calibri" w:hAnsi="Calibri" w:eastAsia="Calibri" w:cs="Calibri"/>
          <w:color w:val="595959"/>
          <w:sz w:val="24"/>
          <w:szCs w:val="24"/>
          <w:highlight w:val="none"/>
        </w:rPr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4513" w:type="dxa"/>
          </w:tcPr>
          <w:p>
            <w:pPr>
              <w:pBdr/>
              <w:spacing w:after="4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Gültig für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SQL Server 2022 / 2025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Windows Server 2022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4513" w:type="dxa"/>
          </w:tcPr>
          <w:p>
            <w:pPr>
              <w:pBdr/>
              <w:spacing w:after="4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Klassifizierung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 DBA-Team</w:t>
            </w:r>
            <w:r/>
          </w:p>
        </w:tc>
      </w:tr>
    </w:tbl>
    <w:p>
      <w:pPr>
        <w:pBdr/>
        <w:spacing w:after="0"/>
        <w:ind/>
        <w:rPr/>
      </w:pPr>
      <w:r>
        <w:br w:type="page" w:clear="all"/>
      </w:r>
      <w:r/>
    </w:p>
    <w:p>
      <w:pPr>
        <w:pStyle w:val="749"/>
        <w:pBdr/>
        <w:shd w:val="clear" w:color="auto" w:fill="1f4e79"/>
        <w:spacing w:after="120" w:before="360"/>
        <w:ind w:right="200" w:left="200"/>
        <w:rPr/>
      </w:pPr>
      <w:r>
        <w:rPr>
          <w:rFonts w:ascii="Calibri" w:hAnsi="Calibri" w:eastAsia="Calibri" w:cs="Calibri"/>
          <w:b/>
          <w:bCs/>
          <w:color w:val="ffffff"/>
          <w:sz w:val="32"/>
          <w:szCs w:val="32"/>
        </w:rPr>
        <w:t xml:space="preserve">1  Übersicht</w:t>
      </w:r>
      <w:r/>
    </w:p>
    <w:p>
      <w:pPr>
        <w:pBdr/>
        <w:spacing w:after="160"/>
        <w:ind/>
        <w:rPr/>
      </w:pPr>
      <w:r/>
      <w:r/>
    </w:p>
    <w:p>
      <w:pPr>
        <w:pStyle w:val="750"/>
        <w:pBdr>
          <w:bottom w:val="single" w:color="1f4e79" w:sz="6" w:space="0"/>
        </w:pBdr>
        <w:spacing w:after="100" w:before="280"/>
        <w:ind/>
        <w:rPr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1.1  Zweck des Tools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Das SQL Server AlwaysOn Setup Tool automatisiert die Einrichtung von SQL Server Always On</w:t>
      </w:r>
      <w:r>
        <w:rPr>
          <w:rFonts w:ascii="Calibri" w:hAnsi="Calibri" w:eastAsia="Calibri" w:cs="Calibri"/>
          <w:sz w:val="22"/>
          <w:szCs w:val="22"/>
        </w:rPr>
        <w:t xml:space="preserve"> Availability Groups (AG) auf einem bestehenden Windows Server Failover Cluster (WSFC). Es liest alle relevanten Cluster- und SQL-Informationen automatisch ein, präsentiert diese zur Überprüfung und führt nach Bestätigung alle Konfigurationsschritte durch.</w:t>
      </w:r>
      <w:r/>
    </w:p>
    <w:p>
      <w:pPr>
        <w:pBdr/>
        <w:spacing w:after="1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00"/>
        <w:gridCol w:w="8626"/>
      </w:tblGrid>
      <w:tr>
        <w:trPr/>
        <w:tc>
          <w:tcPr>
            <w:shd w:val="clear" w:color="auto" w:fill="e2efd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120" w:type="dxa"/>
              <w:right w:w="80" w:type="dxa"/>
              <w:bottom w:w="120" w:type="dxa"/>
            </w:tcMar>
            <w:tcW w:w="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75623"/>
                <w:sz w:val="28"/>
                <w:szCs w:val="28"/>
              </w:rPr>
              <w:t xml:space="preserve">✓</w:t>
            </w:r>
            <w:r/>
          </w:p>
        </w:tc>
        <w:tc>
          <w:tcPr>
            <w:shd w:val="clear" w:color="auto" w:fill="e2efd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80" w:type="dxa"/>
              <w:top w:w="120" w:type="dxa"/>
              <w:right w:w="120" w:type="dxa"/>
              <w:bottom w:w="120" w:type="dxa"/>
            </w:tcMar>
            <w:tcW w:w="8626" w:type="dxa"/>
          </w:tcPr>
          <w:p>
            <w:pPr>
              <w:pBdr/>
              <w:spacing w:after="4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22"/>
                <w:szCs w:val="22"/>
              </w:rPr>
              <w:t xml:space="preserve">Empfehlung: SPNs vor dem Setup setzen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Wenn die Service Principal Names (SPNs) für das SQL-Dienstkonto im Active Directory bereits vor dem Setup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registriert sind, kann das Tool alle Nodes per Windows-Authentifizierung (Kerberos) erreichen und läuft vollautomatisch durch. Sind SPNs nicht gesetzt, pausiert das Tool an einer Stelle und erfordert einen manuellen Schritt. Weitere Details in Abschnitt 4.</w:t>
            </w:r>
            <w:r/>
          </w:p>
        </w:tc>
      </w:tr>
    </w:tbl>
    <w:p>
      <w:pPr>
        <w:pBdr/>
        <w:spacing w:after="160"/>
        <w:ind/>
        <w:rPr/>
      </w:pPr>
      <w:r/>
      <w:r/>
    </w:p>
    <w:p>
      <w:pPr>
        <w:pStyle w:val="750"/>
        <w:pBdr>
          <w:bottom w:val="single" w:color="1f4e79" w:sz="6" w:space="0"/>
        </w:pBdr>
        <w:spacing w:after="100" w:before="280"/>
        <w:ind/>
        <w:rPr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1.2  Konfigurationsschritte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600"/>
        <w:gridCol w:w="5226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Schritt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Titel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Beschreibung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1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SQL-Service-Konto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Optional: Konto und Passwort ändern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HADR aktivieren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Always On auf allen Nodes per sp_configure einschalten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3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Endpoint erstellen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Datenbankspiegelungs-Endpoint (Port 5022) konfigurieren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CONNECT-Berechtigung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Windows-Login anlegen und Endpoint-Zugriff gewähren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5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Testdatenbank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Datenbank erstellen, FULL-Recovery setzen, Backup erstellen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6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Availability Group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 per T-SQL anlegen, Replicas beitreten, Autoseed aktivieren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7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Listener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AG-Listener mit IP-Adresse und Port konfigurieren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8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Status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AG-Status und Replikations-Synchronisierung prüfen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9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SPN-Prüfung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SPNs prüfen, fehlende SPNs als AD-Team-Anforderung ausgeben</w:t>
            </w:r>
            <w:r/>
          </w:p>
        </w:tc>
      </w:tr>
    </w:tbl>
    <w:p>
      <w:pPr>
        <w:pBdr/>
        <w:spacing w:after="160"/>
        <w:ind/>
        <w:rPr/>
      </w:pPr>
      <w:r/>
      <w:r/>
    </w:p>
    <w:p>
      <w:pPr>
        <w:pBdr/>
        <w:spacing w:after="0"/>
        <w:ind/>
        <w:rPr/>
      </w:pPr>
      <w:r>
        <w:br w:type="page" w:clear="all"/>
      </w:r>
      <w:r/>
    </w:p>
    <w:p>
      <w:pPr>
        <w:pStyle w:val="749"/>
        <w:pBdr/>
        <w:shd w:val="clear" w:color="auto" w:fill="1f4e79"/>
        <w:spacing w:after="120" w:before="360"/>
        <w:ind w:right="200" w:left="200"/>
        <w:rPr/>
      </w:pPr>
      <w:r>
        <w:rPr>
          <w:rFonts w:ascii="Calibri" w:hAnsi="Calibri" w:eastAsia="Calibri" w:cs="Calibri"/>
          <w:b/>
          <w:bCs/>
          <w:color w:val="ffffff"/>
          <w:sz w:val="32"/>
          <w:szCs w:val="32"/>
        </w:rPr>
        <w:t xml:space="preserve">2  Voraussetzungen</w:t>
      </w:r>
      <w:r/>
    </w:p>
    <w:p>
      <w:pPr>
        <w:pBdr/>
        <w:spacing w:after="160"/>
        <w:ind/>
        <w:rPr/>
      </w:pPr>
      <w:r/>
      <w:r/>
    </w:p>
    <w:p>
      <w:pPr>
        <w:pStyle w:val="750"/>
        <w:pBdr>
          <w:bottom w:val="single" w:color="1f4e79" w:sz="6" w:space="0"/>
        </w:pBdr>
        <w:spacing w:after="100" w:before="280"/>
        <w:ind/>
        <w:rPr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2.1  Infrastruktur</w:t>
      </w:r>
      <w:r/>
    </w:p>
    <w:p>
      <w:pPr>
        <w:pStyle w:val="741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Windows Server 2022 oder neuer auf allen Cluster-Nodes</w:t>
      </w:r>
      <w:r/>
    </w:p>
    <w:p>
      <w:pPr>
        <w:pStyle w:val="741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SQL Server 2022 oder neuer (Enterprise oder Standard Edition)</w:t>
      </w:r>
      <w:r/>
    </w:p>
    <w:p>
      <w:pPr>
        <w:pStyle w:val="741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Bestehender Windows Server Failover Cluster (WSFC) mit 2 oder 3 Nodes</w:t>
      </w:r>
      <w:r/>
    </w:p>
    <w:p>
      <w:pPr>
        <w:pStyle w:val="741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Gemeinsamer Backup-Share, erreichbar von allen Nodes</w:t>
      </w:r>
      <w:r/>
    </w:p>
    <w:p>
      <w:pPr>
        <w:pStyle w:val="741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Netzwerkzugang zwischen allen Nodes auf Port 5022 (HADR Endpoint)</w:t>
      </w:r>
      <w:r/>
    </w:p>
    <w:p>
      <w:pPr>
        <w:pBdr/>
        <w:spacing w:after="160"/>
        <w:ind/>
        <w:rPr/>
      </w:pPr>
      <w:r/>
      <w:r/>
    </w:p>
    <w:p>
      <w:pPr>
        <w:pStyle w:val="750"/>
        <w:pBdr>
          <w:bottom w:val="single" w:color="1f4e79" w:sz="6" w:space="0"/>
        </w:pBdr>
        <w:spacing w:after="100" w:before="280"/>
        <w:ind/>
        <w:rPr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2.2  Berechtigungen</w:t>
      </w:r>
      <w:r/>
    </w:p>
    <w:p>
      <w:pPr>
        <w:pStyle w:val="741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Lokaler Administrator auf dem ausführenden Cluster-Node</w:t>
      </w:r>
      <w:r/>
    </w:p>
    <w:p>
      <w:pPr>
        <w:pStyle w:val="741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SQL Server sysadmin-Rolle auf allen Nodes</w:t>
      </w:r>
      <w:r/>
    </w:p>
    <w:p>
      <w:pPr>
        <w:pStyle w:val="741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Domänen-Leserecht (für SPN-Prüfung)</w:t>
      </w:r>
      <w:r/>
    </w:p>
    <w:p>
      <w:pPr>
        <w:pBdr/>
        <w:spacing w:after="160"/>
        <w:ind/>
        <w:rPr/>
      </w:pPr>
      <w:r/>
      <w:r/>
    </w:p>
    <w:p>
      <w:pPr>
        <w:pStyle w:val="750"/>
        <w:pBdr>
          <w:bottom w:val="single" w:color="1f4e79" w:sz="6" w:space="0"/>
        </w:pBdr>
        <w:spacing w:after="100" w:before="280"/>
        <w:ind/>
        <w:rPr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2.3  PowerShell-Module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Modul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Installation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Hinweis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FailoverClusters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e4057"/>
                <w:sz w:val="20"/>
                <w:szCs w:val="20"/>
              </w:rPr>
              <w:t xml:space="preserve">RSAT-Clustering-PowerShell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Automatisch installiert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dbaTools &gt;= 2.0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e4057"/>
                <w:sz w:val="20"/>
                <w:szCs w:val="20"/>
              </w:rPr>
              <w:t xml:space="preserve">Install-Module dbatools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Automatisch installiert</w:t>
            </w:r>
            <w:r/>
          </w:p>
        </w:tc>
      </w:tr>
    </w:tbl>
    <w:p>
      <w:pPr>
        <w:pBdr/>
        <w:spacing w:after="160"/>
        <w:ind/>
        <w:rPr/>
      </w:pPr>
      <w:r/>
      <w:r/>
    </w:p>
    <w:p>
      <w:pPr>
        <w:pBdr/>
        <w:spacing w:after="0"/>
        <w:ind/>
        <w:rPr/>
      </w:pPr>
      <w:r>
        <w:br w:type="page" w:clear="all"/>
      </w:r>
      <w:r/>
    </w:p>
    <w:p>
      <w:pPr>
        <w:pStyle w:val="749"/>
        <w:pBdr/>
        <w:shd w:val="clear" w:color="auto" w:fill="1f4e79"/>
        <w:spacing w:after="120" w:before="360"/>
        <w:ind w:right="200" w:left="200"/>
        <w:rPr/>
      </w:pPr>
      <w:r>
        <w:rPr>
          <w:rFonts w:ascii="Calibri" w:hAnsi="Calibri" w:eastAsia="Calibri" w:cs="Calibri"/>
          <w:b/>
          <w:bCs/>
          <w:color w:val="ffffff"/>
          <w:sz w:val="32"/>
          <w:szCs w:val="32"/>
        </w:rPr>
        <w:t xml:space="preserve">3  Bedienung</w:t>
      </w:r>
      <w:r/>
    </w:p>
    <w:p>
      <w:pPr>
        <w:pBdr/>
        <w:spacing w:after="160"/>
        <w:ind/>
        <w:rPr/>
      </w:pPr>
      <w:r/>
      <w:r/>
    </w:p>
    <w:p>
      <w:pPr>
        <w:pStyle w:val="750"/>
        <w:pBdr>
          <w:bottom w:val="single" w:color="1f4e79" w:sz="6" w:space="0"/>
        </w:pBdr>
        <w:spacing w:after="100" w:before="280"/>
        <w:ind/>
        <w:rPr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3.1  Start</w:t>
      </w:r>
      <w:r/>
    </w:p>
    <w:p>
      <w:pPr>
        <w:pStyle w:val="741"/>
        <w:numPr>
          <w:ilvl w:val="0"/>
          <w:numId w:val="3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PowerShell ISE oder PowerShell 5.1+ als Administrator öffnen</w:t>
      </w:r>
      <w:r/>
    </w:p>
    <w:p>
      <w:pPr>
        <w:pStyle w:val="741"/>
        <w:numPr>
          <w:ilvl w:val="0"/>
          <w:numId w:val="3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Script SetupAlwaysOn.ps1 ausführen</w:t>
      </w:r>
      <w:r/>
    </w:p>
    <w:p>
      <w:pPr>
        <w:pStyle w:val="741"/>
        <w:numPr>
          <w:ilvl w:val="0"/>
          <w:numId w:val="3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Das Tool startet, prüft Module und liest Cluster-Informationen automatisch ein</w:t>
      </w:r>
      <w:r/>
    </w:p>
    <w:p>
      <w:pPr>
        <w:pStyle w:val="741"/>
        <w:numPr>
          <w:ilvl w:val="0"/>
          <w:numId w:val="3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Die erkannten Werte erscheinen im PropertyGrid auf der linken Seite</w:t>
      </w:r>
      <w:r/>
    </w:p>
    <w:p>
      <w:pPr>
        <w:pBdr/>
        <w:spacing w:after="160"/>
        <w:ind/>
        <w:rPr/>
      </w:pPr>
      <w:r/>
      <w:r/>
    </w:p>
    <w:p>
      <w:pPr>
        <w:pStyle w:val="750"/>
        <w:pBdr>
          <w:bottom w:val="single" w:color="1f4e79" w:sz="6" w:space="0"/>
        </w:pBdr>
        <w:spacing w:after="100" w:before="280"/>
        <w:ind/>
        <w:rPr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3.2  PropertyGrid – Konfigurationsfelder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1600"/>
        <w:gridCol w:w="5026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Feld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Kategorie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Beschreibung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AG-Name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95959"/>
                <w:sz w:val="20"/>
                <w:szCs w:val="20"/>
              </w:rPr>
              <w:t xml:space="preserve">3 - AG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Name der Availability Group (= WSFC-Rollenname)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Listener-Name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95959"/>
                <w:sz w:val="20"/>
                <w:szCs w:val="20"/>
              </w:rPr>
              <w:t xml:space="preserve">3 - AG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DNS-Name des AG-Listeners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Listener-IP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95959"/>
                <w:sz w:val="20"/>
                <w:szCs w:val="20"/>
              </w:rPr>
              <w:t xml:space="preserve">3 - AG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IP-Adresse des Listeners (aus Cluster übernommen)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Listener-Port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95959"/>
                <w:sz w:val="20"/>
                <w:szCs w:val="20"/>
              </w:rPr>
              <w:t xml:space="preserve">3 - AG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TCP-Port des Listeners (Standard: 1433)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Endpoint-Port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95959"/>
                <w:sz w:val="20"/>
                <w:szCs w:val="20"/>
              </w:rPr>
              <w:t xml:space="preserve">3 - AG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HADR Endpoint Port (Standard: 5022)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Failover-Modus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95959"/>
                <w:sz w:val="20"/>
                <w:szCs w:val="20"/>
              </w:rPr>
              <w:t xml:space="preserve">3 - AG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Automatic = synchron mit auto. Failover; Manual = asynchron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Backup-Präferenz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95959"/>
                <w:sz w:val="20"/>
                <w:szCs w:val="20"/>
              </w:rPr>
              <w:t xml:space="preserve">3 - AG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Primary / Secondary / PreferSecondary / None (Standard: Primary)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Test-Datenbank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95959"/>
                <w:sz w:val="20"/>
                <w:szCs w:val="20"/>
              </w:rPr>
              <w:t xml:space="preserve">3 - AG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Name der in die AG aufzunehmenden Datenbank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Backup-Share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95959"/>
                <w:sz w:val="20"/>
                <w:szCs w:val="20"/>
              </w:rPr>
              <w:t xml:space="preserve">4 - Backup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UNC-Pfad für initiales Backup (muss von allen Nodes erreichbar sein)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Service-Konto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95959"/>
                <w:sz w:val="20"/>
                <w:szCs w:val="20"/>
              </w:rPr>
              <w:t xml:space="preserve">2 - Dienst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SQL-Dienstkonto (automatisch erkannt, optional änderbar)</w:t>
            </w:r>
            <w:r/>
          </w:p>
        </w:tc>
      </w:tr>
    </w:tbl>
    <w:p>
      <w:pPr>
        <w:pBdr/>
        <w:spacing w:after="160"/>
        <w:ind/>
        <w:rPr/>
      </w:pPr>
      <w:r/>
      <w:r/>
    </w:p>
    <w:p>
      <w:pPr>
        <w:pStyle w:val="750"/>
        <w:pBdr>
          <w:bottom w:val="single" w:color="1f4e79" w:sz="6" w:space="0"/>
        </w:pBdr>
        <w:spacing w:after="100" w:before="280"/>
        <w:ind/>
        <w:rPr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3.3  Konfiguration starten</w:t>
      </w:r>
      <w:r/>
    </w:p>
    <w:p>
      <w:pPr>
        <w:pStyle w:val="741"/>
        <w:numPr>
          <w:ilvl w:val="0"/>
          <w:numId w:val="3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Alle Felder im PropertyGrid prüfen und ggf. anpassen</w:t>
      </w:r>
      <w:r/>
    </w:p>
    <w:p>
      <w:pPr>
        <w:pStyle w:val="741"/>
        <w:numPr>
          <w:ilvl w:val="0"/>
          <w:numId w:val="3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Primary-Node in der Dropdown-Liste wählen</w:t>
      </w:r>
      <w:r/>
    </w:p>
    <w:p>
      <w:pPr>
        <w:pStyle w:val="741"/>
        <w:numPr>
          <w:ilvl w:val="0"/>
          <w:numId w:val="3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Schaltfläche "Konfiguration starten" klicken</w:t>
      </w:r>
      <w:r/>
    </w:p>
    <w:p>
      <w:pPr>
        <w:pStyle w:val="741"/>
        <w:numPr>
          <w:ilvl w:val="0"/>
          <w:numId w:val="3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Den Fortschritt im Log-Bereich (rechts) verfolgen</w:t>
      </w:r>
      <w:r/>
    </w:p>
    <w:p>
      <w:pPr>
        <w:pStyle w:val="741"/>
        <w:numPr>
          <w:ilvl w:val="0"/>
          <w:numId w:val="3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Bei Bedarf: "Weiter"-Button nach manuellem SQL-Login-Setup (siehe Abschnitt 4)</w:t>
      </w:r>
      <w:r/>
    </w:p>
    <w:p>
      <w:pPr>
        <w:pStyle w:val="741"/>
        <w:numPr>
          <w:ilvl w:val="0"/>
          <w:numId w:val="3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Am Ende: SPN-Anforderungsdatei an das AD-Team weiterleiten</w:t>
      </w:r>
      <w:r/>
    </w:p>
    <w:p>
      <w:pPr>
        <w:pBdr/>
        <w:spacing w:after="160"/>
        <w:ind/>
        <w:rPr/>
      </w:pPr>
      <w:r/>
      <w:r/>
    </w:p>
    <w:p>
      <w:pPr>
        <w:pBdr/>
        <w:spacing w:after="0"/>
        <w:ind/>
        <w:rPr/>
      </w:pPr>
      <w:r>
        <w:br w:type="page" w:clear="all"/>
      </w:r>
      <w:r/>
    </w:p>
    <w:p>
      <w:pPr>
        <w:pStyle w:val="749"/>
        <w:pBdr/>
        <w:shd w:val="clear" w:color="auto" w:fill="1f4e79"/>
        <w:spacing w:after="120" w:before="360"/>
        <w:ind w:right="200" w:left="200"/>
        <w:rPr/>
      </w:pPr>
      <w:r>
        <w:rPr>
          <w:rFonts w:ascii="Calibri" w:hAnsi="Calibri" w:eastAsia="Calibri" w:cs="Calibri"/>
          <w:b/>
          <w:bCs/>
          <w:color w:val="ffffff"/>
          <w:sz w:val="32"/>
          <w:szCs w:val="32"/>
        </w:rPr>
        <w:t xml:space="preserve">4  Service Principal Names (SPNs)</w:t>
      </w:r>
      <w:r/>
    </w:p>
    <w:p>
      <w:pPr>
        <w:pBdr/>
        <w:spacing w:after="16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Service Principal Names (SPNs) sind Einträge</w:t>
      </w:r>
      <w:r>
        <w:rPr>
          <w:rFonts w:ascii="Calibri" w:hAnsi="Calibri" w:eastAsia="Calibri" w:cs="Calibri"/>
          <w:sz w:val="22"/>
          <w:szCs w:val="22"/>
        </w:rPr>
        <w:t xml:space="preserve"> im Active Directory die SQL Server ermöglichen, Kerberos-Authentifizierung zu verwenden. Fehlen die SPNs, kann sich kein Client (und kein Script) per Windows-Auth mit dem betroffenen Node verbinden – es erscheint der Fehler "Cannot generate SSPI context".</w:t>
      </w:r>
      <w:r/>
    </w:p>
    <w:p>
      <w:pPr>
        <w:pBdr/>
        <w:spacing w:after="1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00"/>
        <w:gridCol w:w="8626"/>
      </w:tblGrid>
      <w:tr>
        <w:trPr/>
        <w:tc>
          <w:tcPr>
            <w:shd w:val="clear" w:color="auto" w:fill="fff2cc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120" w:type="dxa"/>
              <w:right w:w="80" w:type="dxa"/>
              <w:bottom w:w="120" w:type="dxa"/>
            </w:tcMar>
            <w:tcW w:w="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9a800"/>
                <w:sz w:val="28"/>
                <w:szCs w:val="28"/>
              </w:rPr>
              <w:t xml:space="preserve">⚠</w:t>
            </w:r>
            <w:r/>
          </w:p>
        </w:tc>
        <w:tc>
          <w:tcPr>
            <w:shd w:val="clear" w:color="auto" w:fill="fff2cc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80" w:type="dxa"/>
              <w:top w:w="120" w:type="dxa"/>
              <w:right w:w="120" w:type="dxa"/>
              <w:bottom w:w="120" w:type="dxa"/>
            </w:tcMar>
            <w:tcW w:w="8626" w:type="dxa"/>
          </w:tcPr>
          <w:p>
            <w:pPr>
              <w:pBdr/>
              <w:spacing w:after="4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c9a800"/>
                <w:sz w:val="22"/>
                <w:szCs w:val="22"/>
              </w:rPr>
              <w:t xml:space="preserve">SPNs vor dem Setup setzen – dringend empfohlen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Wenn die SPNs für das SQL-Dienstkonto fehlen, kann das Tool einen oder mehre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re Nodes nicht per Windows-Authentifizierung erreichen. Es pausiert dann und fordert den Anwender auf, ein temporäres SQL-Login manuell anzulegen. Dieser Schritt entfällt vollständig wenn die SPNs bereits vor dem Setup im Active Directory registriert sind.</w:t>
            </w:r>
            <w:r/>
          </w:p>
        </w:tc>
      </w:tr>
    </w:tbl>
    <w:p>
      <w:pPr>
        <w:pBdr/>
        <w:spacing w:after="160"/>
        <w:ind/>
        <w:rPr/>
      </w:pPr>
      <w:r/>
      <w:r/>
    </w:p>
    <w:p>
      <w:pPr>
        <w:pStyle w:val="750"/>
        <w:pBdr>
          <w:bottom w:val="single" w:color="1f4e79" w:sz="6" w:space="0"/>
        </w:pBdr>
        <w:spacing w:after="100" w:before="280"/>
        <w:ind/>
        <w:rPr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4.1  Benötigte SPNs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Für jeden Node und den Listener-Namen werden je zwei SPNs benötigt (Kurzname und FQDN):</w:t>
      </w:r>
      <w:r/>
    </w:p>
    <w:p>
      <w:pPr>
        <w:pBdr/>
        <w:spacing w:after="1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1e1e1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40" w:type="dxa"/>
              <w:right w:w="160" w:type="dxa"/>
              <w:bottom w:w="40" w:type="dxa"/>
            </w:tcMar>
            <w:tcW w:w="90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4057"/>
                <w:sz w:val="20"/>
                <w:szCs w:val="20"/>
              </w:rPr>
              <w:t xml:space="preserve">-- Je Node (Beispiel: SQLSERVER01, Port 1433):</w:t>
            </w:r>
            <w:r/>
          </w:p>
        </w:tc>
      </w:tr>
      <w:tr>
        <w:trPr/>
        <w:tc>
          <w:tcPr>
            <w:shd w:val="clear" w:color="auto" w:fill="1e1e1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40" w:type="dxa"/>
              <w:right w:w="160" w:type="dxa"/>
              <w:bottom w:w="40" w:type="dxa"/>
            </w:tcMar>
            <w:tcW w:w="90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4057"/>
                <w:sz w:val="20"/>
                <w:szCs w:val="20"/>
              </w:rPr>
              <w:t xml:space="preserve">setspn -S MSSQLSvc/SQLSERVER01:1433          DOMAIN\SQLServiceAccount</w:t>
            </w:r>
            <w:r/>
          </w:p>
        </w:tc>
      </w:tr>
      <w:tr>
        <w:trPr/>
        <w:tc>
          <w:tcPr>
            <w:shd w:val="clear" w:color="auto" w:fill="1e1e1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40" w:type="dxa"/>
              <w:right w:w="160" w:type="dxa"/>
              <w:bottom w:w="40" w:type="dxa"/>
            </w:tcMar>
            <w:tcW w:w="90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4057"/>
                <w:sz w:val="20"/>
                <w:szCs w:val="20"/>
              </w:rPr>
              <w:t xml:space="preserve">setspn -S MSSQLSvc/SQLSERVER01.domain.com:1433  DOMAIN\SQLServiceAccount</w:t>
            </w:r>
            <w:r/>
          </w:p>
        </w:tc>
      </w:tr>
      <w:tr>
        <w:trPr/>
        <w:tc>
          <w:tcPr>
            <w:shd w:val="clear" w:color="auto" w:fill="1e1e1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40" w:type="dxa"/>
              <w:right w:w="160" w:type="dxa"/>
              <w:bottom w:w="40" w:type="dxa"/>
            </w:tcMar>
            <w:tcW w:w="90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4057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1e1e1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40" w:type="dxa"/>
              <w:right w:w="160" w:type="dxa"/>
              <w:bottom w:w="40" w:type="dxa"/>
            </w:tcMar>
            <w:tcW w:w="90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4057"/>
                <w:sz w:val="20"/>
                <w:szCs w:val="20"/>
              </w:rPr>
              <w:t xml:space="preserve">-- Für den AG-Listener (Beispiel: AGSQLLISTENER):</w:t>
            </w:r>
            <w:r/>
          </w:p>
        </w:tc>
      </w:tr>
      <w:tr>
        <w:trPr/>
        <w:tc>
          <w:tcPr>
            <w:shd w:val="clear" w:color="auto" w:fill="1e1e1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40" w:type="dxa"/>
              <w:right w:w="160" w:type="dxa"/>
              <w:bottom w:w="40" w:type="dxa"/>
            </w:tcMar>
            <w:tcW w:w="90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4057"/>
                <w:sz w:val="20"/>
                <w:szCs w:val="20"/>
              </w:rPr>
              <w:t xml:space="preserve">setspn -S MSSQLSvc/AGSQLLISTENER:1433           DOMAIN\SQLServiceAccount</w:t>
            </w:r>
            <w:r/>
          </w:p>
        </w:tc>
      </w:tr>
      <w:tr>
        <w:trPr/>
        <w:tc>
          <w:tcPr>
            <w:shd w:val="clear" w:color="auto" w:fill="1e1e1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40" w:type="dxa"/>
              <w:right w:w="160" w:type="dxa"/>
              <w:bottom w:w="40" w:type="dxa"/>
            </w:tcMar>
            <w:tcW w:w="90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4057"/>
                <w:sz w:val="20"/>
                <w:szCs w:val="20"/>
              </w:rPr>
              <w:t xml:space="preserve">setspn -S MSSQLSvc/AGSQLLISTENER.domain.com:1433 DOMAIN\SQLServiceAccount</w:t>
            </w:r>
            <w:r/>
          </w:p>
        </w:tc>
      </w:tr>
      <w:tr>
        <w:trPr/>
        <w:tc>
          <w:tcPr>
            <w:shd w:val="clear" w:color="auto" w:fill="1e1e1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40" w:type="dxa"/>
              <w:right w:w="160" w:type="dxa"/>
              <w:bottom w:w="40" w:type="dxa"/>
            </w:tcMar>
            <w:tcW w:w="90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4057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1e1e1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40" w:type="dxa"/>
              <w:right w:w="160" w:type="dxa"/>
              <w:bottom w:w="40" w:type="dxa"/>
            </w:tcMar>
            <w:tcW w:w="90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4057"/>
                <w:sz w:val="20"/>
                <w:szCs w:val="20"/>
              </w:rPr>
              <w:t xml:space="preserve">-- Prüfung nach dem Setzen:</w:t>
            </w:r>
            <w:r/>
          </w:p>
        </w:tc>
      </w:tr>
      <w:tr>
        <w:trPr/>
        <w:tc>
          <w:tcPr>
            <w:shd w:val="clear" w:color="auto" w:fill="1e1e1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40" w:type="dxa"/>
              <w:right w:w="160" w:type="dxa"/>
              <w:bottom w:w="40" w:type="dxa"/>
            </w:tcMar>
            <w:tcW w:w="90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4057"/>
                <w:sz w:val="20"/>
                <w:szCs w:val="20"/>
              </w:rPr>
              <w:t xml:space="preserve">setspn -L DOMAIN\SQLServiceAccount</w:t>
            </w:r>
            <w:r/>
          </w:p>
        </w:tc>
      </w:tr>
    </w:tbl>
    <w:p>
      <w:pPr>
        <w:pBdr/>
        <w:spacing w:after="16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Die konkreten setspn-Befehle für die aktuelle Umgebung werden vom Tool in Schritt 9 (SPN-Prüfung) automatisch generiert und als Textdatei gespeichert:</w:t>
      </w:r>
      <w:r/>
    </w:p>
    <w:p>
      <w:pPr>
        <w:pBdr/>
        <w:spacing w:after="100"/>
        <w:ind/>
        <w:rPr/>
      </w:pPr>
      <w:r>
        <w:rPr>
          <w:rFonts w:ascii="Courier New" w:hAnsi="Courier New" w:eastAsia="Courier New" w:cs="Courier New"/>
          <w:color w:val="2e4057"/>
          <w:sz w:val="20"/>
          <w:szCs w:val="20"/>
        </w:rPr>
        <w:t xml:space="preserve">C:\System\WinSrvLog\MSSQL\AlwaysOn_SPN_ADTeam_&lt;Datum&gt;.txt</w:t>
      </w:r>
      <w:r/>
    </w:p>
    <w:p>
      <w:pPr>
        <w:pBdr/>
        <w:spacing w:after="160"/>
        <w:ind/>
        <w:rPr/>
      </w:pPr>
      <w:r/>
      <w:r/>
    </w:p>
    <w:p>
      <w:pPr>
        <w:pStyle w:val="750"/>
        <w:pBdr>
          <w:bottom w:val="single" w:color="1f4e79" w:sz="6" w:space="0"/>
        </w:pBdr>
        <w:spacing w:after="100" w:before="280"/>
        <w:ind/>
        <w:rPr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4.2  Ablauf wenn SPNs fehlen</w:t>
      </w:r>
      <w:r/>
    </w:p>
    <w:p>
      <w:pPr>
        <w:pStyle w:val="741"/>
        <w:numPr>
          <w:ilvl w:val="0"/>
          <w:numId w:val="3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Das Tool erkennt automatisch welche Nodes nicht per Kerberos erreichbar sind</w:t>
      </w:r>
      <w:r/>
    </w:p>
    <w:p>
      <w:pPr>
        <w:pStyle w:val="741"/>
        <w:numPr>
          <w:ilvl w:val="0"/>
          <w:numId w:val="3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Es zeigt den T-SQL-Block zur manuellen Anlage eines temporären SQL-Logins an</w:t>
      </w:r>
      <w:r/>
    </w:p>
    <w:p>
      <w:pPr>
        <w:pStyle w:val="741"/>
        <w:numPr>
          <w:ilvl w:val="0"/>
          <w:numId w:val="3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Der Anwender führt dieses T-SQL per SSMS lokal auf jedem betroffenen Node aus</w:t>
      </w:r>
      <w:r/>
    </w:p>
    <w:p>
      <w:pPr>
        <w:pStyle w:val="741"/>
        <w:numPr>
          <w:ilvl w:val="0"/>
          <w:numId w:val="3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Nach Klick auf "Weiter" prüft das Tool die SQL-Auth-Verbindung und fährt fort</w:t>
      </w:r>
      <w:r/>
    </w:p>
    <w:p>
      <w:pPr>
        <w:pStyle w:val="741"/>
        <w:numPr>
          <w:ilvl w:val="0"/>
          <w:numId w:val="3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Das temporäre Login wird am Ende automatisch wieder entfernt</w:t>
      </w:r>
      <w:r/>
    </w:p>
    <w:p>
      <w:pPr>
        <w:pBdr/>
        <w:spacing w:after="1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00"/>
        <w:gridCol w:w="8626"/>
      </w:tblGrid>
      <w:tr>
        <w:trPr/>
        <w:tc>
          <w:tcPr>
            <w:shd w:val="clear" w:color="auto" w:fill="fff2cc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120" w:type="dxa"/>
              <w:right w:w="80" w:type="dxa"/>
              <w:bottom w:w="120" w:type="dxa"/>
            </w:tcMar>
            <w:tcW w:w="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c9a800"/>
                <w:sz w:val="28"/>
                <w:szCs w:val="28"/>
              </w:rPr>
              <w:t xml:space="preserve">⚠</w:t>
            </w:r>
            <w:r/>
          </w:p>
        </w:tc>
        <w:tc>
          <w:tcPr>
            <w:shd w:val="clear" w:color="auto" w:fill="fff2cc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80" w:type="dxa"/>
              <w:top w:w="120" w:type="dxa"/>
              <w:right w:w="120" w:type="dxa"/>
              <w:bottom w:w="120" w:type="dxa"/>
            </w:tcMar>
            <w:tcW w:w="8626" w:type="dxa"/>
          </w:tcPr>
          <w:p>
            <w:pPr>
              <w:pBdr/>
              <w:spacing w:after="4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c9a800"/>
                <w:sz w:val="22"/>
                <w:szCs w:val="22"/>
              </w:rPr>
              <w:t xml:space="preserve">Kerberos-Doppelsprung (Double Hop)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Auch wenn sich ein An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wender per RDP auf Node A befindet und von dort auf Node B zugreift, ist Kerberos-Delegation erforderlich. Für das Setup-Script genügt es, wenn der ausführende Benutzer sysadmin auf dem Primary-Node ist – die anderen Nodes werden per SQL-Auth angesprochen.</w:t>
            </w:r>
            <w:r/>
          </w:p>
        </w:tc>
      </w:tr>
    </w:tbl>
    <w:p>
      <w:pPr>
        <w:pBdr/>
        <w:spacing w:after="160"/>
        <w:ind/>
        <w:rPr/>
      </w:pPr>
      <w:r/>
      <w:r/>
    </w:p>
    <w:p>
      <w:pPr>
        <w:pBdr/>
        <w:spacing w:after="0"/>
        <w:ind/>
        <w:rPr/>
      </w:pPr>
      <w:r>
        <w:br w:type="page" w:clear="all"/>
      </w:r>
      <w:r/>
    </w:p>
    <w:p>
      <w:pPr>
        <w:pStyle w:val="749"/>
        <w:pBdr/>
        <w:shd w:val="clear" w:color="auto" w:fill="1f4e79"/>
        <w:spacing w:after="120" w:before="360"/>
        <w:ind w:right="200" w:left="200"/>
        <w:rPr/>
      </w:pPr>
      <w:r>
        <w:rPr>
          <w:rFonts w:ascii="Calibri" w:hAnsi="Calibri" w:eastAsia="Calibri" w:cs="Calibri"/>
          <w:b/>
          <w:bCs/>
          <w:color w:val="ffffff"/>
          <w:sz w:val="32"/>
          <w:szCs w:val="32"/>
        </w:rPr>
        <w:t xml:space="preserve">5  Ausgaben und Logdateien</w:t>
      </w:r>
      <w:r/>
    </w:p>
    <w:p>
      <w:pPr>
        <w:pBdr/>
        <w:spacing w:after="160"/>
        <w:ind/>
        <w:rPr/>
      </w:pPr>
      <w:r/>
      <w:r/>
    </w:p>
    <w:p>
      <w:pPr>
        <w:pStyle w:val="750"/>
        <w:pBdr>
          <w:bottom w:val="single" w:color="1f4e79" w:sz="6" w:space="0"/>
        </w:pBdr>
        <w:spacing w:after="100" w:before="280"/>
        <w:ind/>
        <w:rPr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5.1  Echtzeit-Log (RTF)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Das Tool zeigt alle Aktionen farbcodiert im Log-Bereich an: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Farbe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Bedeutung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Blau (fett)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Abschnittsüberschrift (=== ... ===)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Hellgrün (fett)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Erfolg – Aktion erfolgreich abgeschlossen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Gelb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Warnung – Aktion übersprungen oder Hinweis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Rot (fett)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Fehler – Aktion fehlgeschlagen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Hellgrau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Information – Statusmeldung</w:t>
            </w:r>
            <w:r/>
          </w:p>
        </w:tc>
      </w:tr>
    </w:tbl>
    <w:p>
      <w:pPr>
        <w:pBdr/>
        <w:spacing w:after="160"/>
        <w:ind/>
        <w:rPr/>
      </w:pPr>
      <w:r/>
      <w:r/>
    </w:p>
    <w:p>
      <w:pPr>
        <w:pStyle w:val="750"/>
        <w:pBdr>
          <w:bottom w:val="single" w:color="1f4e79" w:sz="6" w:space="0"/>
        </w:pBdr>
        <w:spacing w:after="100" w:before="280"/>
        <w:ind/>
        <w:rPr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5.2  Gespeicherte Dateien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000"/>
        <w:gridCol w:w="5026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Datei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Inhalt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AlwaysOn_Setup_&lt;Datum&gt;.log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Vollständiges Text-Log aller Schritte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AlwaysOn_Setup_&lt;Datum&gt;.rtf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Farbiges RTF-Log (speicherbar per Schaltfläche)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AlwaysOn_ClusterSettings_&lt;Datum&gt;.txt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Cluster-Konfiguration vor der Änderung (Backup)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AlwaysOn_SPN_ADTeam_&lt;Datum&gt;.txt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setspn-Befehle für das AD-Team</w:t>
            </w:r>
            <w:r/>
          </w:p>
        </w:tc>
      </w:tr>
    </w:tbl>
    <w:p>
      <w:pPr>
        <w:pBdr/>
        <w:spacing w:after="12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Alle Dateien werden gespeichert unter:  C:\System\WinSrvLog\MSSQL\</w:t>
      </w:r>
      <w:r/>
    </w:p>
    <w:p>
      <w:pPr>
        <w:pBdr/>
        <w:spacing w:after="160"/>
        <w:ind/>
        <w:rPr/>
      </w:pPr>
      <w:r/>
      <w:r/>
    </w:p>
    <w:p>
      <w:pPr>
        <w:pBdr/>
        <w:spacing w:after="0"/>
        <w:ind/>
        <w:rPr/>
      </w:pPr>
      <w:r>
        <w:br w:type="page" w:clear="all"/>
      </w:r>
      <w:r/>
    </w:p>
    <w:p>
      <w:pPr>
        <w:pStyle w:val="749"/>
        <w:pBdr/>
        <w:shd w:val="clear" w:color="auto" w:fill="1f4e79"/>
        <w:spacing w:after="120" w:before="360"/>
        <w:ind w:right="200" w:left="200"/>
        <w:rPr/>
      </w:pPr>
      <w:r>
        <w:rPr>
          <w:rFonts w:ascii="Calibri" w:hAnsi="Calibri" w:eastAsia="Calibri" w:cs="Calibri"/>
          <w:b/>
          <w:bCs/>
          <w:color w:val="ffffff"/>
          <w:sz w:val="32"/>
          <w:szCs w:val="32"/>
        </w:rPr>
        <w:t xml:space="preserve">6  Fehlerbehebung</w:t>
      </w:r>
      <w:r/>
    </w:p>
    <w:p>
      <w:pPr>
        <w:pBdr/>
        <w:spacing w:after="1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00"/>
        <w:gridCol w:w="5526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Fehlermeldung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Lösung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e4057"/>
                <w:sz w:val="20"/>
                <w:szCs w:val="20"/>
              </w:rPr>
              <w:t xml:space="preserve">Cannot generate SSPI context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SPNs fehlen. Tool zeigt manuellen SQL-Login-Schritt an. Langfristig: SPNs über AD-Team setzen lassen.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e4057"/>
                <w:sz w:val="20"/>
                <w:szCs w:val="20"/>
              </w:rPr>
              <w:t xml:space="preserve">WSFC group already exists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Überrest eines früheren Versuchs. Tool bereinigt automatisch (Remove-ClusterGroup + Registry).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e4057"/>
                <w:sz w:val="20"/>
                <w:szCs w:val="20"/>
              </w:rPr>
              <w:t xml:space="preserve">Login failed for user AGSetup_...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SQL Server nicht im Mixed Mode oder Policy blockiert. Tool aktiviert Mixed Mode automatisch.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e4057"/>
                <w:sz w:val="20"/>
                <w:szCs w:val="20"/>
              </w:rPr>
              <w:t xml:space="preserve">hadr enabled – Parameter nicht gefunden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dbaTools-Version zu alt oder inkompatibler Parameter. Tool verwendet jetzt sp_configure direkt.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e4057"/>
                <w:sz w:val="20"/>
                <w:szCs w:val="20"/>
              </w:rPr>
              <w:t xml:space="preserve">Backup-Verzeichnis nicht erreichbar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UNC-Pfad im Feld "Backup-Share" prüfen. Muss von allen Nodes beschreibbar sein.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e4057"/>
                <w:sz w:val="20"/>
                <w:szCs w:val="20"/>
              </w:rPr>
              <w:t xml:space="preserve">Endpoint-Port 5022 belegt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Firewall oder bestehender Endpoint prüfen. Port im PropertyGrid ändern.</w:t>
            </w:r>
            <w:r/>
          </w:p>
        </w:tc>
      </w:tr>
    </w:tbl>
    <w:p>
      <w:pPr>
        <w:pBdr/>
        <w:spacing w:after="160"/>
        <w:ind/>
        <w:rPr/>
      </w:pPr>
      <w:r/>
      <w:r/>
    </w:p>
    <w:p>
      <w:pPr>
        <w:pBdr/>
        <w:spacing w:after="0"/>
        <w:ind/>
        <w:rPr/>
      </w:pPr>
      <w:r>
        <w:br w:type="page" w:clear="all"/>
      </w:r>
      <w:r/>
    </w:p>
    <w:p>
      <w:pPr>
        <w:pStyle w:val="749"/>
        <w:pBdr/>
        <w:shd w:val="clear" w:color="auto" w:fill="1f4e79"/>
        <w:spacing w:after="120" w:before="360"/>
        <w:ind w:right="200" w:left="200"/>
        <w:rPr/>
      </w:pPr>
      <w:r>
        <w:rPr>
          <w:rFonts w:ascii="Calibri" w:hAnsi="Calibri" w:eastAsia="Calibri" w:cs="Calibri"/>
          <w:b/>
          <w:bCs/>
          <w:color w:val="ffffff"/>
          <w:sz w:val="32"/>
          <w:szCs w:val="32"/>
        </w:rPr>
        <w:t xml:space="preserve">7  Technische Details</w:t>
      </w:r>
      <w:r/>
    </w:p>
    <w:p>
      <w:pPr>
        <w:pBdr/>
        <w:spacing w:after="160"/>
        <w:ind/>
        <w:rPr/>
      </w:pPr>
      <w:r/>
      <w:r/>
    </w:p>
    <w:p>
      <w:pPr>
        <w:pStyle w:val="750"/>
        <w:pBdr>
          <w:bottom w:val="single" w:color="1f4e79" w:sz="6" w:space="0"/>
        </w:pBdr>
        <w:spacing w:after="100" w:before="280"/>
        <w:ind/>
        <w:rPr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7.1  Verbindungsstrategie</w:t>
      </w:r>
      <w:r/>
    </w:p>
    <w:p>
      <w:pPr>
        <w:pBdr/>
        <w:spacing w:after="100"/>
        <w:ind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Phase 1 – Einlesen: </w:t>
      </w:r>
      <w:r>
        <w:rPr>
          <w:rFonts w:ascii="Calibri" w:hAnsi="Calibri" w:eastAsia="Calibri" w:cs="Calibri"/>
          <w:sz w:val="22"/>
          <w:szCs w:val="22"/>
        </w:rPr>
        <w:t xml:space="preserve">Windows-Auth per WMI für Dienst-Informationen, T-SQL für HADR-Status.</w:t>
      </w:r>
      <w:r/>
    </w:p>
    <w:p>
      <w:pPr>
        <w:pBdr/>
        <w:spacing w:after="100"/>
        <w:ind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Phase 2 – Konfiguration: </w:t>
      </w:r>
      <w:r>
        <w:rPr>
          <w:rFonts w:ascii="Calibri" w:hAnsi="Calibri" w:eastAsia="Calibri" w:cs="Calibri"/>
          <w:sz w:val="22"/>
          <w:szCs w:val="22"/>
        </w:rPr>
        <w:t xml:space="preserve">Windows-Auth auf allen Nodes testen. Bei Fehler → temporäres SQL-Login.</w:t>
      </w:r>
      <w:r/>
    </w:p>
    <w:p>
      <w:pPr>
        <w:pBdr/>
        <w:spacing w:after="100"/>
        <w:ind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Cleanup: </w:t>
      </w:r>
      <w:r>
        <w:rPr>
          <w:rFonts w:ascii="Calibri" w:hAnsi="Calibri" w:eastAsia="Calibri" w:cs="Calibri"/>
          <w:sz w:val="22"/>
          <w:szCs w:val="22"/>
        </w:rPr>
        <w:t xml:space="preserve">Temporäres Login nach Abschluss automatisch auf allen Nodes gelöscht.</w:t>
      </w:r>
      <w:r/>
    </w:p>
    <w:p>
      <w:pPr>
        <w:pBdr/>
        <w:spacing w:after="160"/>
        <w:ind/>
        <w:rPr/>
      </w:pPr>
      <w:r/>
      <w:r/>
    </w:p>
    <w:p>
      <w:pPr>
        <w:pStyle w:val="750"/>
        <w:pBdr>
          <w:bottom w:val="single" w:color="1f4e79" w:sz="6" w:space="0"/>
        </w:pBdr>
        <w:spacing w:after="100" w:before="280"/>
        <w:ind/>
        <w:rPr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7.2  dbaTools-Nutzung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Das Tool minimiert den dbaTools-Einsatz bewusst um Versionsabhängigkeiten zu vermeiden. Verwendet werden nur:</w:t>
      </w:r>
      <w:r/>
    </w:p>
    <w:p>
      <w:pPr>
        <w:pStyle w:val="741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Invoke-DbaQuery – T-SQL-Ausführung mit Credential-Support</w:t>
      </w:r>
      <w:r/>
    </w:p>
    <w:p>
      <w:pPr>
        <w:pStyle w:val="741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Connect-DbaInstance – Verbindungstest in der Authentifizierungsphase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Alle anderen Operationen laufen über T-SQL direkt (sqlcmd), WMI oder FailoverClusters-Cmdlets.</w:t>
      </w:r>
      <w:r/>
    </w:p>
    <w:p>
      <w:pPr>
        <w:pBdr/>
        <w:spacing w:after="160"/>
        <w:ind/>
        <w:rPr/>
      </w:pPr>
      <w:r/>
      <w:r/>
    </w:p>
    <w:p>
      <w:pPr>
        <w:pStyle w:val="750"/>
        <w:pBdr>
          <w:bottom w:val="single" w:color="1f4e79" w:sz="6" w:space="0"/>
        </w:pBdr>
        <w:spacing w:after="100" w:before="280"/>
        <w:ind/>
        <w:rPr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7.3  Sicherheit</w:t>
      </w:r>
      <w:r/>
    </w:p>
    <w:p>
      <w:pPr>
        <w:pStyle w:val="741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Temporäre SQL-Logins: kryptografisch zufälliges Passwort (28 Zeichen, RNGCryptoServiceProvider)</w:t>
      </w:r>
      <w:r/>
    </w:p>
    <w:p>
      <w:pPr>
        <w:pStyle w:val="741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Passwort wird nie in Logdateien gespeichert (nur im RTF-Fenster sichtbar während der Sitzung)</w:t>
      </w:r>
      <w:r/>
    </w:p>
    <w:p>
      <w:pPr>
        <w:pStyle w:val="741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Login wird nach Abschluss automatisch gelöscht</w:t>
      </w:r>
      <w:r/>
    </w:p>
    <w:p>
      <w:pPr>
        <w:pStyle w:val="741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Policy "Enforce Password Policy" wird nur für die Dauer der Login-Anlage deaktiviert</w:t>
      </w:r>
      <w:r/>
    </w:p>
    <w:p>
      <w:pPr>
        <w:pBdr/>
        <w:spacing w:after="160"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1f4e79" w:sz="4" w:space="0"/>
      </w:pBdr>
      <w:spacing w:before="0"/>
      <w:ind/>
      <w:jc w:val="right"/>
      <w:rPr/>
    </w:pPr>
    <w:r>
      <w:rPr>
        <w:rFonts w:ascii="Calibri" w:hAnsi="Calibri" w:eastAsia="Calibri" w:cs="Calibri"/>
        <w:color w:val="595959"/>
        <w:sz w:val="18"/>
        <w:szCs w:val="18"/>
      </w:rPr>
      <w:t xml:space="preserve">DBA-Team  |  Intern  |  Seite </w:t>
    </w:r>
    <w:r>
      <w:rPr>
        <w:rFonts w:ascii="Calibri" w:hAnsi="Calibri" w:eastAsia="Calibri" w:cs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95959"/>
        <w:sz w:val="18"/>
        <w:szCs w:val="18"/>
      </w:rPr>
      <w:t xml:space="preserve"> von </w:t>
    </w:r>
    <w:r>
      <w:rPr>
        <w:rFonts w:ascii="Calibri" w:hAnsi="Calibri" w:eastAsia="Calibri" w:cs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1f4e79" w:sz="4" w:space="0"/>
      </w:pBdr>
      <w:spacing w:after="0"/>
      <w:ind/>
      <w:rPr/>
    </w:pPr>
    <w:r>
      <w:rPr>
        <w:rFonts w:ascii="Calibri" w:hAnsi="Calibri" w:eastAsia="Calibri" w:cs="Calibri"/>
        <w:b/>
        <w:bCs/>
        <w:color w:val="1f4e79"/>
        <w:sz w:val="18"/>
        <w:szCs w:val="18"/>
      </w:rPr>
      <w:t xml:space="preserve">SQL Server AlwaysOn Setup Tool</w:t>
    </w:r>
    <w:r>
      <w:rPr>
        <w:rFonts w:ascii="Calibri" w:hAnsi="Calibri" w:eastAsia="Calibri" w:cs="Calibri"/>
        <w:color w:val="595959"/>
        <w:sz w:val="18"/>
        <w:szCs w:val="18"/>
      </w:rPr>
      <w:t xml:space="preserve">  |  Anwenderhandbuch v1.0.0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3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33">
    <w:name w:val="Title"/>
    <w:qFormat/>
    <w:pPr>
      <w:pBdr/>
      <w:spacing/>
      <w:ind/>
    </w:pPr>
    <w:rPr>
      <w:sz w:val="56"/>
      <w:szCs w:val="56"/>
    </w:rPr>
  </w:style>
  <w:style w:type="paragraph" w:styleId="737">
    <w:name w:val="Heading 4"/>
    <w:qFormat/>
    <w:pPr>
      <w:pBdr/>
      <w:spacing/>
      <w:ind/>
    </w:pPr>
    <w:rPr>
      <w:i/>
      <w:iCs/>
      <w:color w:val="2e74b5"/>
    </w:rPr>
  </w:style>
  <w:style w:type="paragraph" w:styleId="738">
    <w:name w:val="Heading 5"/>
    <w:qFormat/>
    <w:pPr>
      <w:pBdr/>
      <w:spacing/>
      <w:ind/>
    </w:pPr>
    <w:rPr>
      <w:color w:val="2e74b5"/>
    </w:rPr>
  </w:style>
  <w:style w:type="paragraph" w:styleId="739">
    <w:name w:val="Heading 6"/>
    <w:qFormat/>
    <w:pPr>
      <w:pBdr/>
      <w:spacing/>
      <w:ind/>
    </w:pPr>
    <w:rPr>
      <w:color w:val="1f4d78"/>
    </w:rPr>
  </w:style>
  <w:style w:type="paragraph" w:styleId="740">
    <w:name w:val="Strong"/>
    <w:qFormat/>
    <w:pPr>
      <w:pBdr/>
      <w:spacing/>
      <w:ind/>
    </w:pPr>
    <w:rPr>
      <w:b/>
      <w:bCs/>
    </w:rPr>
  </w:style>
  <w:style w:type="paragraph" w:styleId="741">
    <w:name w:val="List Paragraph"/>
    <w:qFormat/>
    <w:pPr>
      <w:pBdr/>
      <w:spacing/>
      <w:ind/>
    </w:pPr>
  </w:style>
  <w:style w:type="character" w:styleId="74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4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4">
    <w:name w:val="footnote text"/>
    <w:link w:val="74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5">
    <w:name w:val="Footnote Text Char"/>
    <w:link w:val="744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6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7">
    <w:name w:val="endnote text"/>
    <w:link w:val="7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8">
    <w:name w:val="Endnote Text Char"/>
    <w:link w:val="747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9">
    <w:name w:val="Heading 1"/>
    <w:qFormat/>
    <w:pPr>
      <w:pBdr/>
      <w:spacing w:after="120" w:before="360"/>
      <w:ind/>
      <w:outlineLvl w:val="0"/>
    </w:pPr>
    <w:rPr>
      <w:rFonts w:ascii="Calibri" w:hAnsi="Calibri" w:eastAsia="Calibri" w:cs="Calibri"/>
      <w:b/>
      <w:bCs/>
      <w:color w:val="ffffff"/>
      <w:sz w:val="32"/>
      <w:szCs w:val="32"/>
    </w:rPr>
  </w:style>
  <w:style w:type="paragraph" w:styleId="750">
    <w:name w:val="Heading 2"/>
    <w:qFormat/>
    <w:pPr>
      <w:pBdr/>
      <w:spacing w:after="100" w:before="280"/>
      <w:ind/>
      <w:outlineLvl w:val="1"/>
    </w:pPr>
    <w:rPr>
      <w:rFonts w:ascii="Calibri" w:hAnsi="Calibri" w:eastAsia="Calibri" w:cs="Calibri"/>
      <w:b/>
      <w:bCs/>
      <w:color w:val="1f4e79"/>
      <w:sz w:val="26"/>
      <w:szCs w:val="26"/>
    </w:rPr>
  </w:style>
  <w:style w:type="paragraph" w:styleId="751">
    <w:name w:val="Heading 3"/>
    <w:qFormat/>
    <w:pPr>
      <w:pBdr/>
      <w:spacing w:after="80" w:before="200"/>
      <w:ind/>
      <w:outlineLvl w:val="2"/>
    </w:pPr>
    <w:rPr>
      <w:rFonts w:ascii="Calibri" w:hAnsi="Calibri" w:eastAsia="Calibri" w:cs="Calibri"/>
      <w:b/>
      <w:bCs/>
      <w:color w:val="c55a11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2026-04-27T16:47:30Z</dcterms:created>
  <dcterms:modified xsi:type="dcterms:W3CDTF">2026-05-18T19:30:49Z</dcterms:modified>
</cp:coreProperties>
</file>