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          Target="docProps/core.xml"/>
  <Relationship Id="rId3" Type="http://schemas.openxmlformats.org/officeDocument/2006/relationships/extended-properties"        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SQL Server Setup Tool</w:t>
      </w:r>
    </w:p>
    <w:p>
      <w:pPr>
        <w:pStyle w:val="Subtitle"/>
      </w:pPr>
      <w:r>
        <w:t xml:space="preserve">Installations- und PostInstall-Ablauf</w:t>
      </w:r>
    </w:p>
    <w:p>
      <w:r>
        <w:t xml:space="preserve">dtcSoftware  |  Uwe Janke  |  Stand: Mai 2026</w:t>
      </w:r>
    </w:p>
    <w:p>
      <w:r>
        <w:br w:type="page"/>
      </w:r>
    </w:p>
    <w:p>
      <w:pPr>
        <w:pStyle w:val="Heading1"/>
      </w:pPr>
      <w:r>
        <w:t xml:space="preserve">1. Übersicht</w:t>
      </w:r>
    </w:p>
    <w:p>
      <w:r>
        <w:t xml:space="preserve">Das SQL Server Setup Tool führt eine standardisierte, vollautomatische SQL-Server-Installation durch. Alle Phasen laufen in einem separaten Hintergrundthread — die GUI bleibt während der gesamten Installation bedienbar. Der Ablauf gliedert sich in vier Phasen: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Phase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Bezeichnung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Beschreibung</w:t>
            </w:r>
          </w:p>
        </w:tc>
      </w:tr>
      <w:tr>
        <w:tc>
          <w:tcPr>
            <w:tcW w:w="3120" w:type="dxa"/>
          </w:tcPr>
          <w:p>
            <w:r>
              <w:t xml:space="preserve">1</w:t>
            </w:r>
          </w:p>
        </w:tc>
        <w:tc>
          <w:tcPr>
            <w:tcW w:w="3120" w:type="dxa"/>
          </w:tcPr>
          <w:p>
            <w:r>
              <w:t xml:space="preserve">Vorbereitung</w:t>
            </w:r>
          </w:p>
        </w:tc>
        <w:tc>
          <w:tcPr>
            <w:tcW w:w="3120" w:type="dxa"/>
          </w:tcPr>
          <w:p>
            <w:r>
              <w:t xml:space="preserve">Installationsquellen vom Netzwerk-Share auf den lokalen Server kopieren</w:t>
            </w:r>
          </w:p>
        </w:tc>
      </w:tr>
      <w:tr>
        <w:tc>
          <w:tcPr>
            <w:tcW w:w="3120" w:type="dxa"/>
          </w:tcPr>
          <w:p>
            <w:r>
              <w:t xml:space="preserve">2</w:t>
            </w:r>
          </w:p>
        </w:tc>
        <w:tc>
          <w:tcPr>
            <w:tcW w:w="3120" w:type="dxa"/>
          </w:tcPr>
          <w:p>
            <w:r>
              <w:t xml:space="preserve">SQL Server Installation</w:t>
            </w:r>
          </w:p>
        </w:tc>
        <w:tc>
          <w:tcPr>
            <w:tcW w:w="3120" w:type="dxa"/>
          </w:tcPr>
          <w:p>
            <w:r>
              <w:t xml:space="preserve">Install-DbaInstance (dbaTools) führt das SQL-Setup durch</w:t>
            </w:r>
          </w:p>
        </w:tc>
      </w:tr>
      <w:tr>
        <w:tc>
          <w:tcPr>
            <w:tcW w:w="3120" w:type="dxa"/>
          </w:tcPr>
          <w:p>
            <w:r>
              <w:t xml:space="preserve">3</w:t>
            </w:r>
          </w:p>
        </w:tc>
        <w:tc>
          <w:tcPr>
            <w:tcW w:w="3120" w:type="dxa"/>
          </w:tcPr>
          <w:p>
            <w:r>
              <w:t xml:space="preserve">Optionale Komponenten</w:t>
            </w:r>
          </w:p>
        </w:tc>
        <w:tc>
          <w:tcPr>
            <w:tcW w:w="3120" w:type="dxa"/>
          </w:tcPr>
          <w:p>
            <w:r>
              <w:t xml:space="preserve">SSAS, SSRS, SSMS, TDP werden bei Bedarf nachinstalliert</w:t>
            </w:r>
          </w:p>
        </w:tc>
      </w:tr>
      <w:tr>
        <w:tc>
          <w:tcPr>
            <w:tcW w:w="3120" w:type="dxa"/>
          </w:tcPr>
          <w:p>
            <w:r>
              <w:t xml:space="preserve">4</w:t>
            </w:r>
          </w:p>
        </w:tc>
        <w:tc>
          <w:tcPr>
            <w:tcW w:w="3120" w:type="dxa"/>
          </w:tcPr>
          <w:p>
            <w:r>
              <w:t xml:space="preserve">PostInstall</w:t>
            </w:r>
          </w:p>
        </w:tc>
        <w:tc>
          <w:tcPr>
            <w:tcW w:w="3120" w:type="dxa"/>
          </w:tcPr>
          <w:p>
            <w:r>
              <w:t xml:space="preserve">16 Konfigurationsschritte härten und optimieren die Instanz</w:t>
            </w:r>
          </w:p>
        </w:tc>
      </w:tr>
    </w:tbl>
    <w:p/>
    <w:p>
      <w:pPr>
        <w:pStyle w:val="Heading1"/>
      </w:pPr>
      <w:r>
        <w:t xml:space="preserve">2. Voraussetzungen</w:t>
      </w:r>
    </w:p>
    <w:p>
      <w:pPr>
        <w:pStyle w:val="Heading2"/>
      </w:pPr>
      <w:r>
        <w:t xml:space="preserve">2.1 Software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Komponente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Version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Hinweis</w:t>
            </w:r>
          </w:p>
        </w:tc>
      </w:tr>
      <w:tr>
        <w:tc>
          <w:tcPr>
            <w:tcW w:w="3120" w:type="dxa"/>
          </w:tcPr>
          <w:p>
            <w:r>
              <w:t xml:space="preserve">PowerShell</w:t>
            </w:r>
          </w:p>
        </w:tc>
        <w:tc>
          <w:tcPr>
            <w:tcW w:w="3120" w:type="dxa"/>
          </w:tcPr>
          <w:p>
            <w:r>
              <w:t xml:space="preserve">5.1+</w:t>
            </w:r>
          </w:p>
        </w:tc>
        <w:tc>
          <w:tcPr>
            <w:tcW w:w="3120" w:type="dxa"/>
          </w:tcPr>
          <w:p>
            <w:r>
              <w:t xml:space="preserve">Pflicht — auf allen Windows-Servern vorhanden</w:t>
            </w:r>
          </w:p>
        </w:tc>
      </w:tr>
      <w:tr>
        <w:tc>
          <w:tcPr>
            <w:tcW w:w="3120" w:type="dxa"/>
          </w:tcPr>
          <w:p>
            <w:r>
              <w:t xml:space="preserve">dbaTools</w:t>
            </w:r>
          </w:p>
        </w:tc>
        <w:tc>
          <w:tcPr>
            <w:tcW w:w="3120" w:type="dxa"/>
          </w:tcPr>
          <w:p>
            <w:r>
              <w:t xml:space="preserve">2.x+</w:t>
            </w:r>
          </w:p>
        </w:tc>
        <w:tc>
          <w:tcPr>
            <w:tcW w:w="3120" w:type="dxa"/>
          </w:tcPr>
          <w:p>
            <w:r>
              <w:t xml:space="preserve">Wird vom Share kopiert wenn nicht vorhanden; Fallback: PowerShell Gallery</w:t>
            </w:r>
          </w:p>
        </w:tc>
      </w:tr>
      <w:tr>
        <w:tc>
          <w:tcPr>
            <w:tcW w:w="3120" w:type="dxa"/>
          </w:tcPr>
          <w:p>
            <w:r>
              <w:t xml:space="preserve">sqmSQLTool</w:t>
            </w:r>
          </w:p>
        </w:tc>
        <w:tc>
          <w:tcPr>
            <w:tcW w:w="3120" w:type="dxa"/>
          </w:tcPr>
          <w:p>
            <w:r>
              <w:t xml:space="preserve">1.0+</w:t>
            </w:r>
          </w:p>
        </w:tc>
        <w:tc>
          <w:tcPr>
            <w:tcW w:w="3120" w:type="dxa"/>
          </w:tcPr>
          <w:p>
            <w:r>
              <w:t xml:space="preserve">dtcSoftware-Modul — wird automatisch in Modulpfad installiert</w:t>
            </w:r>
          </w:p>
        </w:tc>
      </w:tr>
      <w:tr>
        <w:tc>
          <w:tcPr>
            <w:tcW w:w="3120" w:type="dxa"/>
          </w:tcPr>
          <w:p>
            <w:r>
              <w:t xml:space="preserve">.NET Framework</w:t>
            </w:r>
          </w:p>
        </w:tc>
        <w:tc>
          <w:tcPr>
            <w:tcW w:w="3120" w:type="dxa"/>
          </w:tcPr>
          <w:p>
            <w:r>
              <w:t xml:space="preserve">4.5+</w:t>
            </w:r>
          </w:p>
        </w:tc>
        <w:tc>
          <w:tcPr>
            <w:tcW w:w="3120" w:type="dxa"/>
          </w:tcPr>
          <w:p>
            <w:r>
              <w:t xml:space="preserve">Voraussetzung für dbaTools</w:t>
            </w:r>
          </w:p>
        </w:tc>
      </w:tr>
      <w:tr>
        <w:tc>
          <w:tcPr>
            <w:tcW w:w="3120" w:type="dxa"/>
          </w:tcPr>
          <w:p>
            <w:r>
              <w:t xml:space="preserve">Administrator</w:t>
            </w:r>
          </w:p>
        </w:tc>
        <w:tc>
          <w:tcPr>
            <w:tcW w:w="3120" w:type="dxa"/>
          </w:tcPr>
          <w:p>
            <w:r>
              <w:t xml:space="preserve">Lokal</w:t>
            </w:r>
          </w:p>
        </w:tc>
        <w:tc>
          <w:tcPr>
            <w:tcW w:w="3120" w:type="dxa"/>
          </w:tcPr>
          <w:p>
            <w:r>
              <w:t xml:space="preserve">Das Setup-Tool muss mit lokalen Administrator-Rechten ausgeführt werden</w:t>
            </w:r>
          </w:p>
        </w:tc>
      </w:tr>
    </w:tbl>
    <w:p/>
    <w:p>
      <w:pPr>
        <w:pStyle w:val="Heading2"/>
      </w:pPr>
      <w:r>
        <w:t xml:space="preserve">2.2 Netzwerkfreigaben und Laufwerke</w:t>
      </w:r>
    </w:p>
    <w:p>
      <w:r>
        <w:t xml:space="preserve">Alle in [DiskLayout_Standard] konfigurierten Laufwerke (G:, H:, I:, F:, C:) müssen auf dem Zielserver vorhanden und beschreibbar sein. Das Tool warnt wenn ein Laufwerk fehlt, ermöglicht aber das Fortfahren nach Bestätigung. Die SQL-Quelldateien müssen im Share SourceShare unter dem Pfad SQL&lt;Version&gt;\SQL_Install bereitstehen.</w:t>
      </w:r>
    </w:p>
    <w:p>
      <w:pPr>
        <w:pStyle w:val="Heading1"/>
      </w:pPr>
      <w:r>
        <w:t xml:space="preserve">3. GUI-Bedienung</w:t>
      </w:r>
    </w:p>
    <w:p>
      <w:r>
        <w:t xml:space="preserve">Starten: C:\CCM\SQLSetupTool\Main.ps1 (Als Administrator ausführen)</w:t>
      </w:r>
    </w:p>
    <w:p>
      <w:pPr>
        <w:pStyle w:val="Heading2"/>
      </w:pPr>
      <w:r>
        <w:t xml:space="preserve">3.1 Formularfelder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Feld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Quelle (INI)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Beschreibung</w:t>
            </w:r>
          </w:p>
        </w:tc>
      </w:tr>
      <w:tr>
        <w:tc>
          <w:tcPr>
            <w:tcW w:w="3120" w:type="dxa"/>
          </w:tcPr>
          <w:p>
            <w:r>
              <w:t xml:space="preserve">Version</w:t>
            </w:r>
          </w:p>
        </w:tc>
        <w:tc>
          <w:tcPr>
            <w:tcW w:w="3120" w:type="dxa"/>
          </w:tcPr>
          <w:p>
            <w:r>
              <w:t xml:space="preserve">[General] DefaultVersion</w:t>
            </w:r>
          </w:p>
        </w:tc>
        <w:tc>
          <w:tcPr>
            <w:tcW w:w="3120" w:type="dxa"/>
          </w:tcPr>
          <w:p>
            <w:r>
              <w:t xml:space="preserve">SQL Server Version — aus Combobox wählen</w:t>
            </w:r>
          </w:p>
        </w:tc>
      </w:tr>
      <w:tr>
        <w:tc>
          <w:tcPr>
            <w:tcW w:w="3120" w:type="dxa"/>
          </w:tcPr>
          <w:p>
            <w:r>
              <w:t xml:space="preserve">Edition</w:t>
            </w:r>
          </w:p>
        </w:tc>
        <w:tc>
          <w:tcPr>
            <w:tcW w:w="3120" w:type="dxa"/>
          </w:tcPr>
          <w:p>
            <w:r>
              <w:t xml:space="preserve">[General] DefaultEdition</w:t>
            </w:r>
          </w:p>
        </w:tc>
        <w:tc>
          <w:tcPr>
            <w:tcW w:w="3120" w:type="dxa"/>
          </w:tcPr>
          <w:p>
            <w:r>
              <w:t xml:space="preserve">SQL Server Edition — passt sich automatisch an Version an</w:t>
            </w:r>
          </w:p>
        </w:tc>
      </w:tr>
      <w:tr>
        <w:tc>
          <w:tcPr>
            <w:tcW w:w="3120" w:type="dxa"/>
          </w:tcPr>
          <w:p>
            <w:r>
              <w:t xml:space="preserve">Instanzname</w:t>
            </w:r>
          </w:p>
        </w:tc>
        <w:tc>
          <w:tcPr>
            <w:tcW w:w="3120" w:type="dxa"/>
          </w:tcPr>
          <w:p>
            <w:r>
              <w:t xml:space="preserve">[General] DefaultInstanceName</w:t>
            </w:r>
          </w:p>
        </w:tc>
        <w:tc>
          <w:tcPr>
            <w:tcW w:w="3120" w:type="dxa"/>
          </w:tcPr>
          <w:p>
            <w:r>
              <w:t xml:space="preserve">MSSQLServer = Standard-Instanz; anderer Name = benannte Instanz</w:t>
            </w:r>
          </w:p>
        </w:tc>
      </w:tr>
      <w:tr>
        <w:tc>
          <w:tcPr>
            <w:tcW w:w="3120" w:type="dxa"/>
          </w:tcPr>
          <w:p>
            <w:r>
              <w:t xml:space="preserve">Sortierung</w:t>
            </w:r>
          </w:p>
        </w:tc>
        <w:tc>
          <w:tcPr>
            <w:tcW w:w="3120" w:type="dxa"/>
          </w:tcPr>
          <w:p>
            <w:r>
              <w:t xml:space="preserve">[Collations]</w:t>
            </w:r>
          </w:p>
        </w:tc>
        <w:tc>
          <w:tcPr>
            <w:tcW w:w="3120" w:type="dxa"/>
          </w:tcPr>
          <w:p>
            <w:r>
              <w:t xml:space="preserve">Domänenspezifische Vorgabe an erster Position der Combobox</w:t>
            </w:r>
          </w:p>
        </w:tc>
      </w:tr>
      <w:tr>
        <w:tc>
          <w:tcPr>
            <w:tcW w:w="3120" w:type="dxa"/>
          </w:tcPr>
          <w:p>
            <w:r>
              <w:t xml:space="preserve">Service-Konto</w:t>
            </w:r>
          </w:p>
        </w:tc>
        <w:tc>
          <w:tcPr>
            <w:tcW w:w="3120" w:type="dxa"/>
          </w:tcPr>
          <w:p>
            <w:r>
              <w:t xml:space="preserve">(manuell)</w:t>
            </w:r>
          </w:p>
        </w:tc>
        <w:tc>
          <w:tcPr>
            <w:tcW w:w="3120" w:type="dxa"/>
          </w:tcPr>
          <w:p>
            <w:r>
              <w:t xml:space="preserve">Leer = NT SERVICE\MSSQLSERVER; Format: DOMAIN\User</w:t>
            </w:r>
          </w:p>
        </w:tc>
      </w:tr>
      <w:tr>
        <w:tc>
          <w:tcPr>
            <w:tcW w:w="3120" w:type="dxa"/>
          </w:tcPr>
          <w:p>
            <w:r>
              <w:t xml:space="preserve">Laufwerke</w:t>
            </w:r>
          </w:p>
        </w:tc>
        <w:tc>
          <w:tcPr>
            <w:tcW w:w="3120" w:type="dxa"/>
          </w:tcPr>
          <w:p>
            <w:r>
              <w:t xml:space="preserve">[DiskLayout_*]</w:t>
            </w:r>
          </w:p>
        </w:tc>
        <w:tc>
          <w:tcPr>
            <w:tcW w:w="3120" w:type="dxa"/>
          </w:tcPr>
          <w:p>
            <w:r>
              <w:t xml:space="preserve">Aus INI vorbelegt; domänenspezifisch; manuell anpassbar</w:t>
            </w:r>
          </w:p>
        </w:tc>
      </w:tr>
      <w:tr>
        <w:tc>
          <w:tcPr>
            <w:tcW w:w="3120" w:type="dxa"/>
          </w:tcPr>
          <w:p>
            <w:r>
              <w:t xml:space="preserve">Monitoring</w:t>
            </w:r>
          </w:p>
        </w:tc>
        <w:tc>
          <w:tcPr>
            <w:tcW w:w="3120" w:type="dxa"/>
          </w:tcPr>
          <w:p>
            <w:r>
              <w:t xml:space="preserve">[Monitoring]</w:t>
            </w:r>
          </w:p>
        </w:tc>
        <w:tc>
          <w:tcPr>
            <w:tcW w:w="3120" w:type="dxa"/>
          </w:tcPr>
          <w:p>
            <w:r>
              <w:t xml:space="preserve">0 = Kein, 1 = Service Monitoring, 2 = Vollständig; domänenspezifisch vorbelegt</w:t>
            </w:r>
          </w:p>
        </w:tc>
      </w:tr>
      <w:tr>
        <w:tc>
          <w:tcPr>
            <w:tcW w:w="3120" w:type="dxa"/>
          </w:tcPr>
          <w:p>
            <w:r>
              <w:t xml:space="preserve">SSRS/SSAS/SSMS</w:t>
            </w:r>
          </w:p>
        </w:tc>
        <w:tc>
          <w:tcPr>
            <w:tcW w:w="3120" w:type="dxa"/>
          </w:tcPr>
          <w:p>
            <w:r>
              <w:t xml:space="preserve">[OptionalComponents]</w:t>
            </w:r>
          </w:p>
        </w:tc>
        <w:tc>
          <w:tcPr>
            <w:tcW w:w="3120" w:type="dxa"/>
          </w:tcPr>
          <w:p>
            <w:r>
              <w:t xml:space="preserve">Nur sichtbar wenn in INI aktiviert; SSMS+SSIS standard gecheckt</w:t>
            </w:r>
          </w:p>
        </w:tc>
      </w:tr>
    </w:tbl>
    <w:p/>
    <w:p>
      <w:pPr>
        <w:pStyle w:val="Heading2"/>
      </w:pPr>
      <w:r>
        <w:t xml:space="preserve">3.2 Schaltflächen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Schaltfläche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Funktion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Hinweis</w:t>
            </w:r>
          </w:p>
        </w:tc>
      </w:tr>
      <w:tr>
        <w:tc>
          <w:tcPr>
            <w:tcW w:w="3120" w:type="dxa"/>
          </w:tcPr>
          <w:p>
            <w:r>
              <w:t xml:space="preserve">AD prüfen</w:t>
            </w:r>
          </w:p>
        </w:tc>
        <w:tc>
          <w:tcPr>
            <w:tcW w:w="3120" w:type="dxa"/>
          </w:tcPr>
          <w:p>
            <w:r>
              <w:t xml:space="preserve">Service-Konto validieren</w:t>
            </w:r>
          </w:p>
        </w:tc>
        <w:tc>
          <w:tcPr>
            <w:tcW w:w="3120" w:type="dxa"/>
          </w:tcPr>
          <w:p>
            <w:r>
              <w:t xml:space="preserve">Prüft AD-Existenz und Passwort. ACHTUNG: zählt zur Lockout-Policy!</w:t>
            </w:r>
          </w:p>
        </w:tc>
      </w:tr>
      <w:tr>
        <w:tc>
          <w:tcPr>
            <w:tcW w:w="3120" w:type="dxa"/>
          </w:tcPr>
          <w:p>
            <w:r>
              <w:t xml:space="preserve">Quellen kopieren</w:t>
            </w:r>
          </w:p>
        </w:tc>
        <w:tc>
          <w:tcPr>
            <w:tcW w:w="3120" w:type="dxa"/>
          </w:tcPr>
          <w:p>
            <w:r>
              <w:t xml:space="preserve">Phase 1 starten</w:t>
            </w:r>
          </w:p>
        </w:tc>
        <w:tc>
          <w:tcPr>
            <w:tcW w:w="3120" w:type="dxa"/>
          </w:tcPr>
          <w:p>
            <w:r>
              <w:t xml:space="preserve">Kopiert SQL-Medien per Robocopy vom Share auf lokales Laufwerk</w:t>
            </w:r>
          </w:p>
        </w:tc>
      </w:tr>
      <w:tr>
        <w:tc>
          <w:tcPr>
            <w:tcW w:w="3120" w:type="dxa"/>
          </w:tcPr>
          <w:p>
            <w:r>
              <w:t xml:space="preserve">Installation starten</w:t>
            </w:r>
          </w:p>
        </w:tc>
        <w:tc>
          <w:tcPr>
            <w:tcW w:w="3120" w:type="dxa"/>
          </w:tcPr>
          <w:p>
            <w:r>
              <w:t xml:space="preserve">Phasen 2-4 starten</w:t>
            </w:r>
          </w:p>
        </w:tc>
        <w:tc>
          <w:tcPr>
            <w:tcW w:w="3120" w:type="dxa"/>
          </w:tcPr>
          <w:p>
            <w:r>
              <w:t xml:space="preserve">Bestätigungsdialog mit Version/Edition/Instanz erscheint vorher</w:t>
            </w:r>
          </w:p>
        </w:tc>
      </w:tr>
      <w:tr>
        <w:tc>
          <w:tcPr>
            <w:tcW w:w="3120" w:type="dxa"/>
          </w:tcPr>
          <w:p>
            <w:r>
              <w:t xml:space="preserve">Schliessen</w:t>
            </w:r>
          </w:p>
        </w:tc>
        <w:tc>
          <w:tcPr>
            <w:tcW w:w="3120" w:type="dxa"/>
          </w:tcPr>
          <w:p>
            <w:r>
              <w:t xml:space="preserve">Formular beenden</w:t>
            </w:r>
          </w:p>
        </w:tc>
        <w:tc>
          <w:tcPr>
            <w:tcW w:w="3120" w:type="dxa"/>
          </w:tcPr>
          <w:p>
            <w:r>
              <w:t xml:space="preserve">Laufende Operationen werden NICHT abgebrochen</w:t>
            </w:r>
          </w:p>
        </w:tc>
      </w:tr>
    </w:tbl>
    <w:p/>
    <w:p>
      <w:pPr>
        <w:pStyle w:val="Heading1"/>
      </w:pPr>
      <w:r>
        <w:t xml:space="preserve">4. Phase 1 — Quellen kopieren</w:t>
      </w:r>
    </w:p>
    <w:p>
      <w:r>
        <w:t xml:space="preserve">Kopiert alle benötigten Installationsmedien vom Netzwerk-Share auf das lokale Laufwerk (InstallDrive: C:). Der Updates-Unterordner wird mitgenommen und dient als Slipstream-Quelle.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Komponente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Quellpfad (Share)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Zielpfad (lokal)</w:t>
            </w:r>
          </w:p>
        </w:tc>
      </w:tr>
      <w:tr>
        <w:tc>
          <w:tcPr>
            <w:tcW w:w="3120" w:type="dxa"/>
          </w:tcPr>
          <w:p>
            <w:r>
              <w:t xml:space="preserve">SQL Engine + Updates</w:t>
            </w:r>
          </w:p>
        </w:tc>
        <w:tc>
          <w:tcPr>
            <w:tcW w:w="3120" w:type="dxa"/>
          </w:tcPr>
          <w:p>
            <w:r>
              <w:t xml:space="preserve">\\srv\SQLSources\SQL&lt;Ver&gt;\SQL_Install</w:t>
            </w:r>
          </w:p>
        </w:tc>
        <w:tc>
          <w:tcPr>
            <w:tcW w:w="3120" w:type="dxa"/>
          </w:tcPr>
          <w:p>
            <w:r>
              <w:t xml:space="preserve">C:\SQLSources\SQL&lt;Ver&gt;\SQL_Install</w:t>
            </w:r>
          </w:p>
        </w:tc>
      </w:tr>
      <w:tr>
        <w:tc>
          <w:tcPr>
            <w:tcW w:w="3120" w:type="dxa"/>
          </w:tcPr>
          <w:p>
            <w:r>
              <w:t xml:space="preserve">SSRS</w:t>
            </w:r>
          </w:p>
        </w:tc>
        <w:tc>
          <w:tcPr>
            <w:tcW w:w="3120" w:type="dxa"/>
          </w:tcPr>
          <w:p>
            <w:r>
              <w:t xml:space="preserve">\\srv\SQLSources\SQL&lt;Ver&gt;\Reporting</w:t>
            </w:r>
          </w:p>
        </w:tc>
        <w:tc>
          <w:tcPr>
            <w:tcW w:w="3120" w:type="dxa"/>
          </w:tcPr>
          <w:p>
            <w:r>
              <w:t xml:space="preserve">C:\SQLSources\SQL&lt;Ver&gt;\Reporting</w:t>
            </w:r>
          </w:p>
        </w:tc>
      </w:tr>
      <w:tr>
        <w:tc>
          <w:tcPr>
            <w:tcW w:w="3120" w:type="dxa"/>
          </w:tcPr>
          <w:p>
            <w:r>
              <w:t xml:space="preserve">SSMS</w:t>
            </w:r>
          </w:p>
        </w:tc>
        <w:tc>
          <w:tcPr>
            <w:tcW w:w="3120" w:type="dxa"/>
          </w:tcPr>
          <w:p>
            <w:r>
              <w:t xml:space="preserve">\\srv\SQLSources\SQL&lt;Ver&gt;\Management</w:t>
            </w:r>
          </w:p>
        </w:tc>
        <w:tc>
          <w:tcPr>
            <w:tcW w:w="3120" w:type="dxa"/>
          </w:tcPr>
          <w:p>
            <w:r>
              <w:t xml:space="preserve">C:\SQLSources\SQL&lt;Ver&gt;\Management</w:t>
            </w:r>
          </w:p>
        </w:tc>
      </w:tr>
      <w:tr>
        <w:tc>
          <w:tcPr>
            <w:tcW w:w="3120" w:type="dxa"/>
          </w:tcPr>
          <w:p>
            <w:r>
              <w:t xml:space="preserve">SSAS + SSIS</w:t>
            </w:r>
          </w:p>
        </w:tc>
        <w:tc>
          <w:tcPr>
            <w:tcW w:w="3120" w:type="dxa"/>
          </w:tcPr>
          <w:p>
            <w:r>
              <w:t xml:space="preserve">Teil von SQL_Install</w:t>
            </w:r>
          </w:p>
        </w:tc>
        <w:tc>
          <w:tcPr>
            <w:tcW w:w="3120" w:type="dxa"/>
          </w:tcPr>
          <w:p>
            <w:r>
              <w:t xml:space="preserve">Kein separater Copy nötig</w:t>
            </w:r>
          </w:p>
        </w:tc>
      </w:tr>
      <w:tr>
        <w:tc>
          <w:tcPr>
            <w:tcW w:w="3120" w:type="dxa"/>
          </w:tcPr>
          <w:p>
            <w:r>
              <w:t xml:space="preserve">TDP</w:t>
            </w:r>
          </w:p>
        </w:tc>
        <w:tc>
          <w:tcPr>
            <w:tcW w:w="3120" w:type="dxa"/>
          </w:tcPr>
          <w:p>
            <w:r>
              <w:t xml:space="preserve">TDP_SourcePath aus INI</w:t>
            </w:r>
          </w:p>
        </w:tc>
        <w:tc>
          <w:tcPr>
            <w:tcW w:w="3120" w:type="dxa"/>
          </w:tcPr>
          <w:p>
            <w:r>
              <w:t xml:space="preserve">C:\SQLSources\TDP</w:t>
            </w:r>
          </w:p>
        </w:tc>
      </w:tr>
    </w:tbl>
    <w:p/>
    <w:p>
      <w:pPr>
        <w:pStyle w:val="Heading1"/>
      </w:pPr>
      <w:r>
        <w:t xml:space="preserve">5. Phase 2 — SQL Server Installation</w:t>
      </w:r>
    </w:p>
    <w:p>
      <w:r>
        <w:t xml:space="preserve">Ruft Install-DbaInstance (dbaTools) auf. Das Setup.exe läuft im Hintergrund unbeaufsichtigt.</w:t>
      </w:r>
    </w:p>
    <w:p>
      <w:pPr>
        <w:pStyle w:val="Heading2"/>
      </w:pPr>
      <w:r>
        <w:t xml:space="preserve">5.1 Verzeichnisse erstellen</w:t>
      </w:r>
    </w:p>
    <w:p>
      <w:r>
        <w:t xml:space="preserve">Vor dem Setup erstellt das Tool alle SQL-Zielverzeichnisse und protokolliert ob sie neu angelegt oder bereits vorhanden waren.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Verzeichnis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Pfad (FI-TS Standard)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Verwendung</w:t>
            </w:r>
          </w:p>
        </w:tc>
      </w:tr>
      <w:tr>
        <w:tc>
          <w:tcPr>
            <w:tcW w:w="3120" w:type="dxa"/>
          </w:tcPr>
          <w:p>
            <w:r>
              <w:t xml:space="preserve">SysDB</w:t>
            </w:r>
          </w:p>
        </w:tc>
        <w:tc>
          <w:tcPr>
            <w:tcW w:w="3120" w:type="dxa"/>
          </w:tcPr>
          <w:p>
            <w:r>
              <w:t xml:space="preserve">F:\Microsoft SQL Server</w:t>
            </w:r>
          </w:p>
        </w:tc>
        <w:tc>
          <w:tcPr>
            <w:tcW w:w="3120" w:type="dxa"/>
          </w:tcPr>
          <w:p>
            <w:r>
              <w:t xml:space="preserve">System-Datenbanken master, model, msdb (INSTALLSQLDATADIR)</w:t>
            </w:r>
          </w:p>
        </w:tc>
      </w:tr>
      <w:tr>
        <w:tc>
          <w:tcPr>
            <w:tcW w:w="3120" w:type="dxa"/>
          </w:tcPr>
          <w:p>
            <w:r>
              <w:t xml:space="preserve">DATA</w:t>
            </w:r>
          </w:p>
        </w:tc>
        <w:tc>
          <w:tcPr>
            <w:tcW w:w="3120" w:type="dxa"/>
          </w:tcPr>
          <w:p>
            <w:r>
              <w:t xml:space="preserve">G:\Daten\SQL\MSSQLSERVER\DATA</w:t>
            </w:r>
          </w:p>
        </w:tc>
        <w:tc>
          <w:tcPr>
            <w:tcW w:w="3120" w:type="dxa"/>
          </w:tcPr>
          <w:p>
            <w:r>
              <w:t xml:space="preserve">Benutzerdatenbankdateien (.mdf, .ndf)</w:t>
            </w:r>
          </w:p>
        </w:tc>
      </w:tr>
      <w:tr>
        <w:tc>
          <w:tcPr>
            <w:tcW w:w="3120" w:type="dxa"/>
          </w:tcPr>
          <w:p>
            <w:r>
              <w:t xml:space="preserve">LOG</w:t>
            </w:r>
          </w:p>
        </w:tc>
        <w:tc>
          <w:tcPr>
            <w:tcW w:w="3120" w:type="dxa"/>
          </w:tcPr>
          <w:p>
            <w:r>
              <w:t xml:space="preserve">H:\Daten\SQL\MSSQLSERVER\LOG</w:t>
            </w:r>
          </w:p>
        </w:tc>
        <w:tc>
          <w:tcPr>
            <w:tcW w:w="3120" w:type="dxa"/>
          </w:tcPr>
          <w:p>
            <w:r>
              <w:t xml:space="preserve">Transaktionsprotokolle (.ldf)</w:t>
            </w:r>
          </w:p>
        </w:tc>
      </w:tr>
      <w:tr>
        <w:tc>
          <w:tcPr>
            <w:tcW w:w="3120" w:type="dxa"/>
          </w:tcPr>
          <w:p>
            <w:r>
              <w:t xml:space="preserve">TempDB</w:t>
            </w:r>
          </w:p>
        </w:tc>
        <w:tc>
          <w:tcPr>
            <w:tcW w:w="3120" w:type="dxa"/>
          </w:tcPr>
          <w:p>
            <w:r>
              <w:t xml:space="preserve">I:\Daten\SQL\MSSQLSERVER\DATA</w:t>
            </w:r>
          </w:p>
        </w:tc>
        <w:tc>
          <w:tcPr>
            <w:tcW w:w="3120" w:type="dxa"/>
          </w:tcPr>
          <w:p>
            <w:r>
              <w:t xml:space="preserve">TempDB-Datendateien</w:t>
            </w:r>
          </w:p>
        </w:tc>
      </w:tr>
      <w:tr>
        <w:tc>
          <w:tcPr>
            <w:tcW w:w="3120" w:type="dxa"/>
          </w:tcPr>
          <w:p>
            <w:r>
              <w:t xml:space="preserve">TempLog</w:t>
            </w:r>
          </w:p>
        </w:tc>
        <w:tc>
          <w:tcPr>
            <w:tcW w:w="3120" w:type="dxa"/>
          </w:tcPr>
          <w:p>
            <w:r>
              <w:t xml:space="preserve">I:\Daten\SQL\MSSQLSERVER\LOG</w:t>
            </w:r>
          </w:p>
        </w:tc>
        <w:tc>
          <w:tcPr>
            <w:tcW w:w="3120" w:type="dxa"/>
          </w:tcPr>
          <w:p>
            <w:r>
              <w:t xml:space="preserve">TempDB-Logdatei</w:t>
            </w:r>
          </w:p>
        </w:tc>
      </w:tr>
      <w:tr>
        <w:tc>
          <w:tcPr>
            <w:tcW w:w="3120" w:type="dxa"/>
          </w:tcPr>
          <w:p>
            <w:r>
              <w:t xml:space="preserve">Backup</w:t>
            </w:r>
          </w:p>
        </w:tc>
        <w:tc>
          <w:tcPr>
            <w:tcW w:w="3120" w:type="dxa"/>
          </w:tcPr>
          <w:p>
            <w:r>
              <w:t xml:space="preserve">F:\Daten\SQL\Backup\MSSQLSERVER</w:t>
            </w:r>
          </w:p>
        </w:tc>
        <w:tc>
          <w:tcPr>
            <w:tcW w:w="3120" w:type="dxa"/>
          </w:tcPr>
          <w:p>
            <w:r>
              <w:t xml:space="preserve">SQL-Backups</w:t>
            </w:r>
          </w:p>
        </w:tc>
      </w:tr>
    </w:tbl>
    <w:p/>
    <w:p>
      <w:pPr>
        <w:pStyle w:val="Heading2"/>
      </w:pPr>
      <w:r>
        <w:t xml:space="preserve">5.2 Wichtige Install-DbaInstance Parameter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Parameter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Wert / Quelle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Bedeutung</w:t>
            </w:r>
          </w:p>
        </w:tc>
      </w:tr>
      <w:tr>
        <w:tc>
          <w:tcPr>
            <w:tcW w:w="3120" w:type="dxa"/>
          </w:tcPr>
          <w:p>
            <w:r>
              <w:t xml:space="preserve">Feature</w:t>
            </w:r>
          </w:p>
        </w:tc>
        <w:tc>
          <w:tcPr>
            <w:tcW w:w="3120" w:type="dxa"/>
          </w:tcPr>
          <w:p>
            <w:r>
              <w:t xml:space="preserve">[Installation] Features</w:t>
            </w:r>
          </w:p>
        </w:tc>
        <w:tc>
          <w:tcPr>
            <w:tcW w:w="3120" w:type="dxa"/>
          </w:tcPr>
          <w:p>
            <w:r>
              <w:t xml:space="preserve">z.B. Engine,FullText,IS (SSIS wird bei abgewählter Checkbox entfernt)</w:t>
            </w:r>
          </w:p>
        </w:tc>
      </w:tr>
      <w:tr>
        <w:tc>
          <w:tcPr>
            <w:tcW w:w="3120" w:type="dxa"/>
          </w:tcPr>
          <w:p>
            <w:r>
              <w:t xml:space="preserve">InstallPath</w:t>
            </w:r>
          </w:p>
        </w:tc>
        <w:tc>
          <w:tcPr>
            <w:tcW w:w="3120" w:type="dxa"/>
          </w:tcPr>
          <w:p>
            <w:r>
              <w:t xml:space="preserve">C:\Program Files\Microsoft SQL Server</w:t>
            </w:r>
          </w:p>
        </w:tc>
        <w:tc>
          <w:tcPr>
            <w:tcW w:w="3120" w:type="dxa"/>
          </w:tcPr>
          <w:p>
            <w:r>
              <w:t xml:space="preserve">Binärdateien (INSTALLSHAREDDIR)</w:t>
            </w:r>
          </w:p>
        </w:tc>
      </w:tr>
      <w:tr>
        <w:tc>
          <w:tcPr>
            <w:tcW w:w="3120" w:type="dxa"/>
          </w:tcPr>
          <w:p>
            <w:r>
              <w:t xml:space="preserve">SystemDbPath</w:t>
            </w:r>
          </w:p>
        </w:tc>
        <w:tc>
          <w:tcPr>
            <w:tcW w:w="3120" w:type="dxa"/>
          </w:tcPr>
          <w:p>
            <w:r>
              <w:t xml:space="preserve">F:\Microsoft SQL Server</w:t>
            </w:r>
          </w:p>
        </w:tc>
        <w:tc>
          <w:tcPr>
            <w:tcW w:w="3120" w:type="dxa"/>
          </w:tcPr>
          <w:p>
            <w:r>
              <w:t xml:space="preserve">System-DBs (INSTALLSQLDATADIR)</w:t>
            </w:r>
          </w:p>
        </w:tc>
      </w:tr>
      <w:tr>
        <w:tc>
          <w:tcPr>
            <w:tcW w:w="3120" w:type="dxa"/>
          </w:tcPr>
          <w:p>
            <w:r>
              <w:t xml:space="preserve">AdminAccount</w:t>
            </w:r>
          </w:p>
        </w:tc>
        <w:tc>
          <w:tcPr>
            <w:tcW w:w="3120" w:type="dxa"/>
          </w:tcPr>
          <w:p>
            <w:r>
              <w:t xml:space="preserve">[Installation] SysAdminAccounts</w:t>
            </w:r>
          </w:p>
        </w:tc>
        <w:tc>
          <w:tcPr>
            <w:tcW w:w="3120" w:type="dxa"/>
          </w:tcPr>
          <w:p>
            <w:r>
              <w:t xml:space="preserve">Initiale sysadmin-Konten bei der Installation</w:t>
            </w:r>
          </w:p>
        </w:tc>
      </w:tr>
      <w:tr>
        <w:tc>
          <w:tcPr>
            <w:tcW w:w="3120" w:type="dxa"/>
          </w:tcPr>
          <w:p>
            <w:r>
              <w:t xml:space="preserve">PerformVolumeMaintenanceTasks</w:t>
            </w:r>
          </w:p>
        </w:tc>
        <w:tc>
          <w:tcPr>
            <w:tcW w:w="3120" w:type="dxa"/>
          </w:tcPr>
          <w:p>
            <w:r>
              <w:t xml:space="preserve">InstantFileInit = true</w:t>
            </w:r>
          </w:p>
        </w:tc>
        <w:tc>
          <w:tcPr>
            <w:tcW w:w="3120" w:type="dxa"/>
          </w:tcPr>
          <w:p>
            <w:r>
              <w:t xml:space="preserve">Sofortige Dateiinitialisierung (IFI)</w:t>
            </w:r>
          </w:p>
        </w:tc>
      </w:tr>
      <w:tr>
        <w:tc>
          <w:tcPr>
            <w:tcW w:w="3120" w:type="dxa"/>
          </w:tcPr>
          <w:p>
            <w:r>
              <w:t xml:space="preserve">UpdateSourcePath</w:t>
            </w:r>
          </w:p>
        </w:tc>
        <w:tc>
          <w:tcPr>
            <w:tcW w:w="3120" w:type="dxa"/>
          </w:tcPr>
          <w:p>
            <w:r>
              <w:t xml:space="preserve">SQL_Install\Updates\ (automatisch)</w:t>
            </w:r>
          </w:p>
        </w:tc>
        <w:tc>
          <w:tcPr>
            <w:tcW w:w="3120" w:type="dxa"/>
          </w:tcPr>
          <w:p>
            <w:r>
              <w:t xml:space="preserve">Slipstream-Update wenn Unterordner vorhanden</w:t>
            </w:r>
          </w:p>
        </w:tc>
      </w:tr>
    </w:tbl>
    <w:p/>
    <w:p>
      <w:pPr>
        <w:pStyle w:val="Heading2"/>
      </w:pPr>
      <w:r>
        <w:t xml:space="preserve">5.3 Bereitschaftsprüfung nach Installation</w:t>
      </w:r>
    </w:p>
    <w:p>
      <w:r>
        <w:t xml:space="preserve">Das Tool wartet nach Abschluss des Setups maximal 30 Sekunden (15 Versuche × 2 Sek.) auf die SQL-Instanz (Connect-DbaInstance). Erst wenn die Verbindung erfolgreich ist, starten Phase 3 und Phase 4.</w:t>
      </w:r>
    </w:p>
    <w:p>
      <w:pPr>
        <w:pStyle w:val="Heading1"/>
      </w:pPr>
      <w:r>
        <w:t xml:space="preserve">6. Phase 3 — Optionale Komponenten</w:t>
      </w:r>
    </w:p>
    <w:p>
      <w:r>
        <w:t xml:space="preserve">Nur die im Formular angehakten Komponenten werden installiert. Reihenfolge: SSAS → SSRS → TDP → SSMS.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Komponente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Methode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Quellpfad</w:t>
            </w:r>
          </w:p>
        </w:tc>
      </w:tr>
      <w:tr>
        <w:tc>
          <w:tcPr>
            <w:tcW w:w="3120" w:type="dxa"/>
          </w:tcPr>
          <w:p>
            <w:r>
              <w:t xml:space="preserve">SSAS</w:t>
            </w:r>
          </w:p>
        </w:tc>
        <w:tc>
          <w:tcPr>
            <w:tcW w:w="3120" w:type="dxa"/>
          </w:tcPr>
          <w:p>
            <w:r>
              <w:t xml:space="preserve">Setup.exe /FEATURES=AS /QUIET</w:t>
            </w:r>
          </w:p>
        </w:tc>
        <w:tc>
          <w:tcPr>
            <w:tcW w:w="3120" w:type="dxa"/>
          </w:tcPr>
          <w:p>
            <w:r>
              <w:t xml:space="preserve">C:\SQLSources\SQL&lt;Ver&gt;\SQL_Install\setup.exe</w:t>
            </w:r>
          </w:p>
        </w:tc>
      </w:tr>
      <w:tr>
        <w:tc>
          <w:tcPr>
            <w:tcW w:w="3120" w:type="dxa"/>
          </w:tcPr>
          <w:p>
            <w:r>
              <w:t xml:space="preserve">SSRS</w:t>
            </w:r>
          </w:p>
        </w:tc>
        <w:tc>
          <w:tcPr>
            <w:tcW w:w="3120" w:type="dxa"/>
          </w:tcPr>
          <w:p>
            <w:r>
              <w:t xml:space="preserve">SQLServerReportingServices.exe (eigenständig)</w:t>
            </w:r>
          </w:p>
        </w:tc>
        <w:tc>
          <w:tcPr>
            <w:tcW w:w="3120" w:type="dxa"/>
          </w:tcPr>
          <w:p>
            <w:r>
              <w:t xml:space="preserve">C:\SQLSources\SQL&lt;Ver&gt;\Reporting</w:t>
            </w:r>
          </w:p>
        </w:tc>
      </w:tr>
      <w:tr>
        <w:tc>
          <w:tcPr>
            <w:tcW w:w="3120" w:type="dxa"/>
          </w:tcPr>
          <w:p>
            <w:r>
              <w:t xml:space="preserve">TDP</w:t>
            </w:r>
          </w:p>
        </w:tc>
        <w:tc>
          <w:tcPr>
            <w:tcW w:w="3120" w:type="dxa"/>
          </w:tcPr>
          <w:p>
            <w:r>
              <w:t xml:space="preserve">Platzhalter — TDP_SourcePath in INI setzen</w:t>
            </w:r>
          </w:p>
        </w:tc>
        <w:tc>
          <w:tcPr>
            <w:tcW w:w="3120" w:type="dxa"/>
          </w:tcPr>
          <w:p>
            <w:r>
              <w:t xml:space="preserve">C:\SQLSources\TDP</w:t>
            </w:r>
          </w:p>
        </w:tc>
      </w:tr>
      <w:tr>
        <w:tc>
          <w:tcPr>
            <w:tcW w:w="3120" w:type="dxa"/>
          </w:tcPr>
          <w:p>
            <w:r>
              <w:t xml:space="preserve">SSMS</w:t>
            </w:r>
          </w:p>
        </w:tc>
        <w:tc>
          <w:tcPr>
            <w:tcW w:w="3120" w:type="dxa"/>
          </w:tcPr>
          <w:p>
            <w:r>
              <w:t xml:space="preserve">SSMS-Setup-*.exe /install /quiet /norestart</w:t>
            </w:r>
          </w:p>
        </w:tc>
        <w:tc>
          <w:tcPr>
            <w:tcW w:w="3120" w:type="dxa"/>
          </w:tcPr>
          <w:p>
            <w:r>
              <w:t xml:space="preserve">C:\SQLSources\SQL&lt;Ver&gt;\Management</w:t>
            </w:r>
          </w:p>
        </w:tc>
      </w:tr>
    </w:tbl>
    <w:p/>
    <w:p>
      <w:r>
        <w:t xml:space="preserve">Hinweis SSAS: ExitCode 3010 (Neustart empfohlen) wird als Erfolg behandelt. Die SSAS-Sortierung ist identisch mit der gewählten Instanz-Sortierung.</w:t>
      </w:r>
    </w:p>
    <w:p>
      <w:r>
        <w:t xml:space="preserve">Hinweis SSIS: Integration Services wird als Feature des SQL-Engine-Setups (Phase 2) installiert, nicht als separate Komponente. Die Checkbox in der GUI steuert ob IS in die Feature-Liste aufgenommen wird.</w:t>
      </w:r>
    </w:p>
    <w:p>
      <w:pPr>
        <w:pStyle w:val="Heading1"/>
      </w:pPr>
      <w:r>
        <w:t xml:space="preserve">7. Phase 4 — PostInstall (16 Schritte)</w:t>
      </w:r>
    </w:p>
    <w:p>
      <w:r>
        <w:t xml:space="preserve">Der PostInstall-Prozess konfiguriert und härtet die installierte SQL-Instanz gemäss FI-TS-Standard. Kritische Schritte brechen den Prozess bei Fehler ab. Unkritische Schritte protokollieren eine Warnung und fahren fort.</w:t>
      </w:r>
    </w:p>
    <w:p>
      <w:pPr>
        <w:pStyle w:val="Heading3"/>
      </w:pPr>
      <w:r>
        <w:t xml:space="preserve">Schritt 1 — NTFS-Berechtigungen</w:t>
      </w:r>
    </w:p>
    <w:p>
      <w:r>
        <w:t xml:space="preserve">Ruft Invoke-sqmNtfsSetup auf. Ermittelt SQL-Dienstkonten automatisch via SMO/WMI. Setzt NTFS-Berechtigungen auf DATA, LOG, TempDB, Backup-Verzeichnissen. Erstellt vorher ein Berechtigungs-Backup. Kritisch — bricht bei Fehler ab.</w:t>
      </w:r>
    </w:p>
    <w:p>
      <w:pPr>
        <w:pStyle w:val="Heading3"/>
      </w:pPr>
      <w:r>
        <w:t xml:space="preserve">Schritt 2 — Performance-Konfiguration</w:t>
      </w:r>
    </w:p>
    <w:p>
      <w:r>
        <w:t xml:space="preserve">Drei SQL-Instanz-Parameter werden gesetzt: Max Server Memory = 90% des physischen RAM (automatisch berechnet). MAXDOP = Min(8, Anzahl logischer CPUs). Cost Threshold for Parallelism = 50.</w:t>
      </w:r>
    </w:p>
    <w:p>
      <w:pPr>
        <w:pStyle w:val="Heading3"/>
      </w:pPr>
      <w:r>
        <w:t xml:space="preserve">Schritt 3 — SQL Server Agent</w:t>
      </w:r>
    </w:p>
    <w:p>
      <w:r>
        <w:t xml:space="preserve">Setzt SQL Server Agent-Dienst auf automatischen Start und startet ihn. Dienstname: SQLSERVERAGENT (Standard) oder SQLSERVERAGENT$&lt;Instanzname&gt; (benannte Instanz).</w:t>
      </w:r>
    </w:p>
    <w:p>
      <w:pPr>
        <w:pStyle w:val="Heading3"/>
      </w:pPr>
      <w:r>
        <w:t xml:space="preserve">Schritt 4 — TempDB-Optimierung</w:t>
      </w:r>
    </w:p>
    <w:p>
      <w:r>
        <w:t xml:space="preserve">Optimiert TempDB nach CPU-Anzahl: Dateidateizahl = Max(4, Min(8, logische CPUs)). Grösse und Wachstum aus [Installation] (1024 MB / 512 MB). Dateien werden auf die konfigurierten TempDB-Pfade verteilt.</w:t>
      </w:r>
    </w:p>
    <w:p>
      <w:pPr>
        <w:pStyle w:val="Heading3"/>
      </w:pPr>
      <w:r>
        <w:t xml:space="preserve">Schritt 5 — Recovery-Modell</w:t>
      </w:r>
    </w:p>
    <w:p>
      <w:r>
        <w:t xml:space="preserve">Setzt Recovery-Modell FULL für Systemdatenbanken (master/msdb) via Invoke-sqmSetDatabaseRecoveryMode.</w:t>
      </w:r>
    </w:p>
    <w:p>
      <w:pPr>
        <w:pStyle w:val="Heading3"/>
      </w:pPr>
      <w:r>
        <w:t xml:space="preserve">Schritt 6 — SQL Browser Service</w:t>
      </w:r>
    </w:p>
    <w:p>
      <w:r>
        <w:t xml:space="preserve">Stoppt und deaktiviert den SQL Browser Service. Steuerung via [Installation] BrowserSvcDisabled. Fehler = Warnung, nicht kritisch.</w:t>
      </w:r>
    </w:p>
    <w:p>
      <w:pPr>
        <w:pStyle w:val="Heading3"/>
      </w:pPr>
      <w:r>
        <w:t xml:space="preserve">Schritt 7 — AD-Sysadmin-Gruppen</w:t>
      </w:r>
    </w:p>
    <w:p>
      <w:r>
        <w:t xml:space="preserve">Weist [SysadminGroups]-Gruppen der sysadmin-Serverrolle zu (Add-DbaServerRoleMember). Domänenspezifischer Eintrag hat Vorrang. Ergebnis steuert ob Schritt 8 ausgeführt wird.</w:t>
      </w:r>
    </w:p>
    <w:p>
      <w:pPr>
        <w:pStyle w:val="Heading3"/>
      </w:pPr>
      <w:r>
        <w:t xml:space="preserve">Schritt 8 — SA-Obfuscation</w:t>
      </w:r>
    </w:p>
    <w:p>
      <w:r>
        <w:t xml:space="preserve">Nur wenn Schritt 7 mindestens eine Gruppe erfolgreich zugewiesen hat. Invoke-sqmSaObfuscation: SA-Konto wird umbenannt und erhält ein langes Zufallspasswort. Sicherheitsbedingung: weiteres aktives sysadmin-Login muss existieren (SID 0x01-Check). Passwort wird nur im Rückgabeobjekt ausgegeben — sicher verwahren!</w:t>
      </w:r>
    </w:p>
    <w:p>
      <w:pPr>
        <w:pStyle w:val="Heading3"/>
      </w:pPr>
      <w:r>
        <w:t xml:space="preserve">Schritt 9 — Monitoring-Key</w:t>
      </w:r>
    </w:p>
    <w:p>
      <w:r>
        <w:t xml:space="preserve">Schreibt Monitoring-Registry-Schlüssel via Invoke-sqmMonitoringKey. Parameter: SQL-Monitoring-Typ (0/1/2 aus Formular) und TSM-Status (aktiv wenn TDP-Checkbox gecheckt).</w:t>
      </w:r>
    </w:p>
    <w:p>
      <w:pPr>
        <w:pStyle w:val="Heading3"/>
      </w:pPr>
      <w:r>
        <w:t xml:space="preserve">Schritt 10 — Instanz-Validierung</w:t>
      </w:r>
    </w:p>
    <w:p>
      <w:r>
        <w:t xml:space="preserve">Best-Practice-Check via Get-sqmSQLInstanceCheck. Prüft Konfiguration, Dienststatus und Erreichbarkeit. Ergebnis-Status wird protokolliert.</w:t>
      </w:r>
    </w:p>
    <w:p>
      <w:pPr>
        <w:pStyle w:val="Heading3"/>
      </w:pPr>
      <w:r>
        <w:t xml:space="preserve">Schritt 11 — Benutzerdefiniertes PostInstall-Script</w:t>
      </w:r>
    </w:p>
    <w:p>
      <w:r>
        <w:t xml:space="preserve">Optional: Wenn Config\Scripts\PostInstall.ps1 existiert, wird es mit -SqlInstance und -LogCallback aufgerufen. Ermöglicht standortspezifische Erweiterungen ohne Tool-Änderungen.</w:t>
      </w:r>
    </w:p>
    <w:p>
      <w:pPr>
        <w:pStyle w:val="Heading3"/>
      </w:pPr>
      <w:r>
        <w:t xml:space="preserve">Schritt 12 — Ola Hallengren Maintenance Solution</w:t>
      </w:r>
    </w:p>
    <w:p>
      <w:r>
        <w:t xml:space="preserve">Installiert Ola Hallengren Maintenance Solution via Install-sqmOlaMaintenanceSolution. Primär: GitHub (neueste Version). Fallback: OlaSourcePath aus [Maintenance]. Wenn nicht verfügbar: Schritt wird übersprungen, Schritte 13-15 entfallen.</w:t>
      </w:r>
    </w:p>
    <w:p>
      <w:pPr>
        <w:pStyle w:val="Heading3"/>
      </w:pPr>
      <w:r>
        <w:t xml:space="preserve">Schritt 13 — Maintenance Jobs</w:t>
      </w:r>
    </w:p>
    <w:p>
      <w:r>
        <w:t xml:space="preserve">Erstellt SQL Agent Jobs: IndexOptimize - USER_DATABASES (Index-Optimierung) und IntegrityCheck - ALL_DATABASES (Integritätsprüfung) via New-sqmOlaMaintenanceJobs.</w:t>
      </w:r>
    </w:p>
    <w:p>
      <w:pPr>
        <w:pStyle w:val="Heading3"/>
      </w:pPr>
      <w:r>
        <w:t xml:space="preserve">Schritt 14 — System-DB Backup Job</w:t>
      </w:r>
    </w:p>
    <w:p>
      <w:r>
        <w:t xml:space="preserve">Erstellt SQL Agent Job FITS-SystemDatabases-FULL für tägliche Backups von master, model, msdb via New-sqmOlaSysDbBackupJob.</w:t>
      </w:r>
    </w:p>
    <w:p>
      <w:pPr>
        <w:pStyle w:val="Heading3"/>
      </w:pPr>
      <w:r>
        <w:t xml:space="preserve">Schritt 15 — User-DB Backup Jobs</w:t>
      </w:r>
    </w:p>
    <w:p>
      <w:r>
        <w:t xml:space="preserve">Erstellt drei SQL Agent Jobs via New-sqmOlaUsrDbBackupJob: FITS-UserDatabases-FULL (wöchentlich), FITS-UserDatabases-DIFF (täglich), FITS-UserDatabases-LOG (stündlich).</w:t>
      </w:r>
    </w:p>
    <w:p>
      <w:pPr>
        <w:pStyle w:val="Heading3"/>
      </w:pPr>
      <w:r>
        <w:t xml:space="preserve">Schritt 16 — Splunk Universal Forwarder</w:t>
      </w:r>
    </w:p>
    <w:p>
      <w:r>
        <w:t xml:space="preserve">Nur wenn [PostInstall] SplunkEnabled = true. Ruft Invoke-sqmSplunkConfiguration auf. Konfiguriert den Splunk Universal Forwarder für SQL-Monitoring. Fehler = Warnung, nicht kritisch.</w:t>
      </w:r>
    </w:p>
    <w:p>
      <w:pPr>
        <w:pStyle w:val="Heading1"/>
      </w:pPr>
      <w:r>
        <w:t xml:space="preserve">8. PostInstall-Schritte im Überblick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rPr>
          <w:trPr/>
        </w:trPr>
        <w:tc>
          <w:tcPr>
            <w:tcW w:w="234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Schritt</w:t>
            </w:r>
          </w:p>
        </w:tc>
        <w:tc>
          <w:tcPr>
            <w:tcW w:w="234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Name</w:t>
            </w:r>
          </w:p>
        </w:tc>
        <w:tc>
          <w:tcPr>
            <w:tcW w:w="234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Kritisch</w:t>
            </w:r>
          </w:p>
        </w:tc>
        <w:tc>
          <w:tcPr>
            <w:tcW w:w="234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Bedingung</w:t>
            </w:r>
          </w:p>
        </w:tc>
      </w:tr>
      <w:tr>
        <w:tc>
          <w:tcPr>
            <w:tcW w:w="2340" w:type="dxa"/>
          </w:tcPr>
          <w:p>
            <w:r>
              <w:t xml:space="preserve">1</w:t>
            </w:r>
          </w:p>
        </w:tc>
        <w:tc>
          <w:tcPr>
            <w:tcW w:w="2340" w:type="dxa"/>
          </w:tcPr>
          <w:p>
            <w:r>
              <w:t xml:space="preserve">NTFS-Berechtigungen</w:t>
            </w:r>
          </w:p>
        </w:tc>
        <w:tc>
          <w:tcPr>
            <w:tcW w:w="2340" w:type="dxa"/>
          </w:tcPr>
          <w:p>
            <w:r>
              <w:t xml:space="preserve">Ja</w:t>
            </w:r>
          </w:p>
        </w:tc>
        <w:tc>
          <w:tcPr>
            <w:tcW w:w="2340" w:type="dxa"/>
          </w:tcPr>
          <w:p>
            <w:r>
              <w:t xml:space="preserve">—</w:t>
            </w:r>
          </w:p>
        </w:tc>
      </w:tr>
      <w:tr>
        <w:tc>
          <w:tcPr>
            <w:tcW w:w="2340" w:type="dxa"/>
          </w:tcPr>
          <w:p>
            <w:r>
              <w:t xml:space="preserve">2</w:t>
            </w:r>
          </w:p>
        </w:tc>
        <w:tc>
          <w:tcPr>
            <w:tcW w:w="2340" w:type="dxa"/>
          </w:tcPr>
          <w:p>
            <w:r>
              <w:t xml:space="preserve">Performance-Parameter</w:t>
            </w:r>
          </w:p>
        </w:tc>
        <w:tc>
          <w:tcPr>
            <w:tcW w:w="2340" w:type="dxa"/>
          </w:tcPr>
          <w:p>
            <w:r>
              <w:t xml:space="preserve">Ja</w:t>
            </w:r>
          </w:p>
        </w:tc>
        <w:tc>
          <w:tcPr>
            <w:tcW w:w="2340" w:type="dxa"/>
          </w:tcPr>
          <w:p>
            <w:r>
              <w:t xml:space="preserve">—</w:t>
            </w:r>
          </w:p>
        </w:tc>
      </w:tr>
      <w:tr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SQL Agent autostart</w:t>
            </w:r>
          </w:p>
        </w:tc>
        <w:tc>
          <w:tcPr>
            <w:tcW w:w="2340" w:type="dxa"/>
          </w:tcPr>
          <w:p>
            <w:r>
              <w:t xml:space="preserve">Ja</w:t>
            </w:r>
          </w:p>
        </w:tc>
        <w:tc>
          <w:tcPr>
            <w:tcW w:w="2340" w:type="dxa"/>
          </w:tcPr>
          <w:p>
            <w:r>
              <w:t xml:space="preserve">—</w:t>
            </w:r>
          </w:p>
        </w:tc>
      </w:tr>
      <w:tr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TempDB-Optimierung</w:t>
            </w:r>
          </w:p>
        </w:tc>
        <w:tc>
          <w:tcPr>
            <w:tcW w:w="2340" w:type="dxa"/>
          </w:tcPr>
          <w:p>
            <w:r>
              <w:t xml:space="preserve">Ja</w:t>
            </w:r>
          </w:p>
        </w:tc>
        <w:tc>
          <w:tcPr>
            <w:tcW w:w="2340" w:type="dxa"/>
          </w:tcPr>
          <w:p>
            <w:r>
              <w:t xml:space="preserve">—</w:t>
            </w:r>
          </w:p>
        </w:tc>
      </w:tr>
      <w:tr>
        <w:tc>
          <w:tcPr>
            <w:tcW w:w="2340" w:type="dxa"/>
          </w:tcPr>
          <w:p>
            <w:r>
              <w:t xml:space="preserve">5</w:t>
            </w:r>
          </w:p>
        </w:tc>
        <w:tc>
          <w:tcPr>
            <w:tcW w:w="2340" w:type="dxa"/>
          </w:tcPr>
          <w:p>
            <w:r>
              <w:t xml:space="preserve">Recovery-Modell FULL</w:t>
            </w:r>
          </w:p>
        </w:tc>
        <w:tc>
          <w:tcPr>
            <w:tcW w:w="2340" w:type="dxa"/>
          </w:tcPr>
          <w:p>
            <w:r>
              <w:t xml:space="preserve">Ja</w:t>
            </w:r>
          </w:p>
        </w:tc>
        <w:tc>
          <w:tcPr>
            <w:tcW w:w="2340" w:type="dxa"/>
          </w:tcPr>
          <w:p>
            <w:r>
              <w:t xml:space="preserve">—</w:t>
            </w:r>
          </w:p>
        </w:tc>
      </w:tr>
      <w:tr>
        <w:tc>
          <w:tcPr>
            <w:tcW w:w="2340" w:type="dxa"/>
          </w:tcPr>
          <w:p>
            <w:r>
              <w:t xml:space="preserve">6</w:t>
            </w:r>
          </w:p>
        </w:tc>
        <w:tc>
          <w:tcPr>
            <w:tcW w:w="2340" w:type="dxa"/>
          </w:tcPr>
          <w:p>
            <w:r>
              <w:t xml:space="preserve">SQL Browser deaktivieren</w:t>
            </w:r>
          </w:p>
        </w:tc>
        <w:tc>
          <w:tcPr>
            <w:tcW w:w="2340" w:type="dxa"/>
          </w:tcPr>
          <w:p>
            <w:r>
              <w:t xml:space="preserve">Nein</w:t>
            </w:r>
          </w:p>
        </w:tc>
        <w:tc>
          <w:tcPr>
            <w:tcW w:w="2340" w:type="dxa"/>
          </w:tcPr>
          <w:p>
            <w:r>
              <w:t xml:space="preserve">BrowserSvcDisabled = true</w:t>
            </w:r>
          </w:p>
        </w:tc>
      </w:tr>
      <w:tr>
        <w:tc>
          <w:tcPr>
            <w:tcW w:w="2340" w:type="dxa"/>
          </w:tcPr>
          <w:p>
            <w:r>
              <w:t xml:space="preserve">7</w:t>
            </w:r>
          </w:p>
        </w:tc>
        <w:tc>
          <w:tcPr>
            <w:tcW w:w="2340" w:type="dxa"/>
          </w:tcPr>
          <w:p>
            <w:r>
              <w:t xml:space="preserve">AD-Sysadmin-Gruppen</w:t>
            </w:r>
          </w:p>
        </w:tc>
        <w:tc>
          <w:tcPr>
            <w:tcW w:w="2340" w:type="dxa"/>
          </w:tcPr>
          <w:p>
            <w:r>
              <w:t xml:space="preserve">Nein</w:t>
            </w:r>
          </w:p>
        </w:tc>
        <w:tc>
          <w:tcPr>
            <w:tcW w:w="2340" w:type="dxa"/>
          </w:tcPr>
          <w:p>
            <w:r>
              <w:t xml:space="preserve">[SysadminGroups] konfiguriert</w:t>
            </w:r>
          </w:p>
        </w:tc>
      </w:tr>
      <w:tr>
        <w:tc>
          <w:tcPr>
            <w:tcW w:w="2340" w:type="dxa"/>
          </w:tcPr>
          <w:p>
            <w:r>
              <w:t xml:space="preserve">8</w:t>
            </w:r>
          </w:p>
        </w:tc>
        <w:tc>
          <w:tcPr>
            <w:tcW w:w="2340" w:type="dxa"/>
          </w:tcPr>
          <w:p>
            <w:r>
              <w:t xml:space="preserve">SA-Obfuscation</w:t>
            </w:r>
          </w:p>
        </w:tc>
        <w:tc>
          <w:tcPr>
            <w:tcW w:w="2340" w:type="dxa"/>
          </w:tcPr>
          <w:p>
            <w:r>
              <w:t xml:space="preserve">Nein</w:t>
            </w:r>
          </w:p>
        </w:tc>
        <w:tc>
          <w:tcPr>
            <w:tcW w:w="2340" w:type="dxa"/>
          </w:tcPr>
          <w:p>
            <w:r>
              <w:t xml:space="preserve">Schritt 7 mindestens 1 Gruppe zugewiesen</w:t>
            </w:r>
          </w:p>
        </w:tc>
      </w:tr>
      <w:tr>
        <w:tc>
          <w:tcPr>
            <w:tcW w:w="2340" w:type="dxa"/>
          </w:tcPr>
          <w:p>
            <w:r>
              <w:t xml:space="preserve">9</w:t>
            </w:r>
          </w:p>
        </w:tc>
        <w:tc>
          <w:tcPr>
            <w:tcW w:w="2340" w:type="dxa"/>
          </w:tcPr>
          <w:p>
            <w:r>
              <w:t xml:space="preserve">Monitoring-Key</w:t>
            </w:r>
          </w:p>
        </w:tc>
        <w:tc>
          <w:tcPr>
            <w:tcW w:w="2340" w:type="dxa"/>
          </w:tcPr>
          <w:p>
            <w:r>
              <w:t xml:space="preserve">Ja</w:t>
            </w:r>
          </w:p>
        </w:tc>
        <w:tc>
          <w:tcPr>
            <w:tcW w:w="2340" w:type="dxa"/>
          </w:tcPr>
          <w:p>
            <w:r>
              <w:t xml:space="preserve">—</w:t>
            </w:r>
          </w:p>
        </w:tc>
      </w:tr>
      <w:tr>
        <w:tc>
          <w:tcPr>
            <w:tcW w:w="2340" w:type="dxa"/>
          </w:tcPr>
          <w:p>
            <w:r>
              <w:t xml:space="preserve">10</w:t>
            </w:r>
          </w:p>
        </w:tc>
        <w:tc>
          <w:tcPr>
            <w:tcW w:w="2340" w:type="dxa"/>
          </w:tcPr>
          <w:p>
            <w:r>
              <w:t xml:space="preserve">Instanz-Validierung</w:t>
            </w:r>
          </w:p>
        </w:tc>
        <w:tc>
          <w:tcPr>
            <w:tcW w:w="2340" w:type="dxa"/>
          </w:tcPr>
          <w:p>
            <w:r>
              <w:t xml:space="preserve">Ja</w:t>
            </w:r>
          </w:p>
        </w:tc>
        <w:tc>
          <w:tcPr>
            <w:tcW w:w="2340" w:type="dxa"/>
          </w:tcPr>
          <w:p>
            <w:r>
              <w:t xml:space="preserve">—</w:t>
            </w:r>
          </w:p>
        </w:tc>
      </w:tr>
      <w:tr>
        <w:tc>
          <w:tcPr>
            <w:tcW w:w="2340" w:type="dxa"/>
          </w:tcPr>
          <w:p>
            <w:r>
              <w:t xml:space="preserve">11</w:t>
            </w:r>
          </w:p>
        </w:tc>
        <w:tc>
          <w:tcPr>
            <w:tcW w:w="2340" w:type="dxa"/>
          </w:tcPr>
          <w:p>
            <w:r>
              <w:t xml:space="preserve">Custom PostInstall-Script</w:t>
            </w:r>
          </w:p>
        </w:tc>
        <w:tc>
          <w:tcPr>
            <w:tcW w:w="2340" w:type="dxa"/>
          </w:tcPr>
          <w:p>
            <w:r>
              <w:t xml:space="preserve">Nein</w:t>
            </w:r>
          </w:p>
        </w:tc>
        <w:tc>
          <w:tcPr>
            <w:tcW w:w="2340" w:type="dxa"/>
          </w:tcPr>
          <w:p>
            <w:r>
              <w:t xml:space="preserve">Script-Datei vorhanden</w:t>
            </w:r>
          </w:p>
        </w:tc>
      </w:tr>
      <w:tr>
        <w:tc>
          <w:tcPr>
            <w:tcW w:w="2340" w:type="dxa"/>
          </w:tcPr>
          <w:p>
            <w:r>
              <w:t xml:space="preserve">12</w:t>
            </w:r>
          </w:p>
        </w:tc>
        <w:tc>
          <w:tcPr>
            <w:tcW w:w="2340" w:type="dxa"/>
          </w:tcPr>
          <w:p>
            <w:r>
              <w:t xml:space="preserve">Ola Hallengren</w:t>
            </w:r>
          </w:p>
        </w:tc>
        <w:tc>
          <w:tcPr>
            <w:tcW w:w="2340" w:type="dxa"/>
          </w:tcPr>
          <w:p>
            <w:r>
              <w:t xml:space="preserve">Nein</w:t>
            </w:r>
          </w:p>
        </w:tc>
        <w:tc>
          <w:tcPr>
            <w:tcW w:w="2340" w:type="dxa"/>
          </w:tcPr>
          <w:p>
            <w:r>
              <w:t xml:space="preserve">GitHub oder OlaSourcePath erreichbar</w:t>
            </w:r>
          </w:p>
        </w:tc>
      </w:tr>
      <w:tr>
        <w:tc>
          <w:tcPr>
            <w:tcW w:w="2340" w:type="dxa"/>
          </w:tcPr>
          <w:p>
            <w:r>
              <w:t xml:space="preserve">13</w:t>
            </w:r>
          </w:p>
        </w:tc>
        <w:tc>
          <w:tcPr>
            <w:tcW w:w="2340" w:type="dxa"/>
          </w:tcPr>
          <w:p>
            <w:r>
              <w:t xml:space="preserve">Maintenance Jobs</w:t>
            </w:r>
          </w:p>
        </w:tc>
        <w:tc>
          <w:tcPr>
            <w:tcW w:w="2340" w:type="dxa"/>
          </w:tcPr>
          <w:p>
            <w:r>
              <w:t xml:space="preserve">Nein</w:t>
            </w:r>
          </w:p>
        </w:tc>
        <w:tc>
          <w:tcPr>
            <w:tcW w:w="2340" w:type="dxa"/>
          </w:tcPr>
          <w:p>
            <w:r>
              <w:t xml:space="preserve">Schritt 12 erfolgreich</w:t>
            </w:r>
          </w:p>
        </w:tc>
      </w:tr>
      <w:tr>
        <w:tc>
          <w:tcPr>
            <w:tcW w:w="2340" w:type="dxa"/>
          </w:tcPr>
          <w:p>
            <w:r>
              <w:t xml:space="preserve">14</w:t>
            </w:r>
          </w:p>
        </w:tc>
        <w:tc>
          <w:tcPr>
            <w:tcW w:w="2340" w:type="dxa"/>
          </w:tcPr>
          <w:p>
            <w:r>
              <w:t xml:space="preserve">System-DB Backup Job</w:t>
            </w:r>
          </w:p>
        </w:tc>
        <w:tc>
          <w:tcPr>
            <w:tcW w:w="2340" w:type="dxa"/>
          </w:tcPr>
          <w:p>
            <w:r>
              <w:t xml:space="preserve">Nein</w:t>
            </w:r>
          </w:p>
        </w:tc>
        <w:tc>
          <w:tcPr>
            <w:tcW w:w="2340" w:type="dxa"/>
          </w:tcPr>
          <w:p>
            <w:r>
              <w:t xml:space="preserve">Schritt 12 erfolgreich</w:t>
            </w:r>
          </w:p>
        </w:tc>
      </w:tr>
      <w:tr>
        <w:tc>
          <w:tcPr>
            <w:tcW w:w="2340" w:type="dxa"/>
          </w:tcPr>
          <w:p>
            <w:r>
              <w:t xml:space="preserve">15</w:t>
            </w:r>
          </w:p>
        </w:tc>
        <w:tc>
          <w:tcPr>
            <w:tcW w:w="2340" w:type="dxa"/>
          </w:tcPr>
          <w:p>
            <w:r>
              <w:t xml:space="preserve">User-DB Backup Jobs</w:t>
            </w:r>
          </w:p>
        </w:tc>
        <w:tc>
          <w:tcPr>
            <w:tcW w:w="2340" w:type="dxa"/>
          </w:tcPr>
          <w:p>
            <w:r>
              <w:t xml:space="preserve">Nein</w:t>
            </w:r>
          </w:p>
        </w:tc>
        <w:tc>
          <w:tcPr>
            <w:tcW w:w="2340" w:type="dxa"/>
          </w:tcPr>
          <w:p>
            <w:r>
              <w:t xml:space="preserve">Schritt 12 erfolgreich</w:t>
            </w:r>
          </w:p>
        </w:tc>
      </w:tr>
      <w:tr>
        <w:tc>
          <w:tcPr>
            <w:tcW w:w="2340" w:type="dxa"/>
          </w:tcPr>
          <w:p>
            <w:r>
              <w:t xml:space="preserve">16</w:t>
            </w:r>
          </w:p>
        </w:tc>
        <w:tc>
          <w:tcPr>
            <w:tcW w:w="2340" w:type="dxa"/>
          </w:tcPr>
          <w:p>
            <w:r>
              <w:t xml:space="preserve">Splunk-Konfiguration</w:t>
            </w:r>
          </w:p>
        </w:tc>
        <w:tc>
          <w:tcPr>
            <w:tcW w:w="2340" w:type="dxa"/>
          </w:tcPr>
          <w:p>
            <w:r>
              <w:t xml:space="preserve">Nein</w:t>
            </w:r>
          </w:p>
        </w:tc>
        <w:tc>
          <w:tcPr>
            <w:tcW w:w="2340" w:type="dxa"/>
          </w:tcPr>
          <w:p>
            <w:r>
              <w:t xml:space="preserve">SplunkEnabled = true</w:t>
            </w:r>
          </w:p>
        </w:tc>
      </w:tr>
    </w:tbl>
    <w:p/>
    <w:p>
      <w:pPr>
        <w:pStyle w:val="Heading1"/>
      </w:pPr>
      <w:r>
        <w:t xml:space="preserve">9. Verzeichnisstruktur nach erfolgreicher Installation</w:t>
      </w:r>
    </w:p>
    <w:tbl>
      <w:tblPr>
        <w:tblStyle w:val="TableGrid"/>
        <w:tblW w:w="9360" w:type="dxa"/>
        <w:tblLook w:val="04A0"/>
      </w:tblPr>
      <w:tblGrid>
        <w:gridCol w:w="4680"/>
        <w:gridCol w:w="4680"/>
      </w:tblGrid>
      <w:tr>
        <w:trPr>
          <w:trPr/>
        </w:trPr>
        <w:tc>
          <w:tcPr>
            <w:tcW w:w="468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Pfad</w:t>
            </w:r>
          </w:p>
        </w:tc>
        <w:tc>
          <w:tcPr>
            <w:tcW w:w="468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Inhalt</w:t>
            </w:r>
          </w:p>
        </w:tc>
      </w:tr>
      <w:tr>
        <w:tc>
          <w:tcPr>
            <w:tcW w:w="4680" w:type="dxa"/>
          </w:tcPr>
          <w:p>
            <w:r>
              <w:t xml:space="preserve">C:\Program Files\Microsoft SQL Server</w:t>
            </w:r>
          </w:p>
        </w:tc>
        <w:tc>
          <w:tcPr>
            <w:tcW w:w="4680" w:type="dxa"/>
          </w:tcPr>
          <w:p>
            <w:r>
              <w:t xml:space="preserve">SQL-Binärdateien (INSTALLSHAREDDIR)</w:t>
            </w:r>
          </w:p>
        </w:tc>
      </w:tr>
      <w:tr>
        <w:tc>
          <w:tcPr>
            <w:tcW w:w="4680" w:type="dxa"/>
          </w:tcPr>
          <w:p>
            <w:r>
              <w:t xml:space="preserve">F:\Microsoft SQL Server</w:t>
            </w:r>
          </w:p>
        </w:tc>
        <w:tc>
          <w:tcPr>
            <w:tcW w:w="4680" w:type="dxa"/>
          </w:tcPr>
          <w:p>
            <w:r>
              <w:t xml:space="preserve">System-DBs: master, model, msdb (INSTALLSQLDATADIR)</w:t>
            </w:r>
          </w:p>
        </w:tc>
      </w:tr>
      <w:tr>
        <w:tc>
          <w:tcPr>
            <w:tcW w:w="4680" w:type="dxa"/>
          </w:tcPr>
          <w:p>
            <w:r>
              <w:t xml:space="preserve">G:\Daten\SQL\MSSQLSERVER\DATA</w:t>
            </w:r>
          </w:p>
        </w:tc>
        <w:tc>
          <w:tcPr>
            <w:tcW w:w="4680" w:type="dxa"/>
          </w:tcPr>
          <w:p>
            <w:r>
              <w:t xml:space="preserve">Benutzerdatenbankdateien (.mdf, .ndf)</w:t>
            </w:r>
          </w:p>
        </w:tc>
      </w:tr>
      <w:tr>
        <w:tc>
          <w:tcPr>
            <w:tcW w:w="4680" w:type="dxa"/>
          </w:tcPr>
          <w:p>
            <w:r>
              <w:t xml:space="preserve">H:\Daten\SQL\MSSQLSERVER\LOG</w:t>
            </w:r>
          </w:p>
        </w:tc>
        <w:tc>
          <w:tcPr>
            <w:tcW w:w="4680" w:type="dxa"/>
          </w:tcPr>
          <w:p>
            <w:r>
              <w:t xml:space="preserve">Transaktionsprotokolle (.ldf)</w:t>
            </w:r>
          </w:p>
        </w:tc>
      </w:tr>
      <w:tr>
        <w:tc>
          <w:tcPr>
            <w:tcW w:w="4680" w:type="dxa"/>
          </w:tcPr>
          <w:p>
            <w:r>
              <w:t xml:space="preserve">I:\Daten\SQL\MSSQLSERVER\DATA</w:t>
            </w:r>
          </w:p>
        </w:tc>
        <w:tc>
          <w:tcPr>
            <w:tcW w:w="4680" w:type="dxa"/>
          </w:tcPr>
          <w:p>
            <w:r>
              <w:t xml:space="preserve">TempDB-Datendateien (4–8 Dateien je nach CPU-Anzahl)</w:t>
            </w:r>
          </w:p>
        </w:tc>
      </w:tr>
      <w:tr>
        <w:tc>
          <w:tcPr>
            <w:tcW w:w="4680" w:type="dxa"/>
          </w:tcPr>
          <w:p>
            <w:r>
              <w:t xml:space="preserve">I:\Daten\SQL\MSSQLSERVER\LOG</w:t>
            </w:r>
          </w:p>
        </w:tc>
        <w:tc>
          <w:tcPr>
            <w:tcW w:w="4680" w:type="dxa"/>
          </w:tcPr>
          <w:p>
            <w:r>
              <w:t xml:space="preserve">TempDB-Logdatei</w:t>
            </w:r>
          </w:p>
        </w:tc>
      </w:tr>
      <w:tr>
        <w:tc>
          <w:tcPr>
            <w:tcW w:w="4680" w:type="dxa"/>
          </w:tcPr>
          <w:p>
            <w:r>
              <w:t xml:space="preserve">F:\Daten\SQL\Backup\MSSQLSERVER</w:t>
            </w:r>
          </w:p>
        </w:tc>
        <w:tc>
          <w:tcPr>
            <w:tcW w:w="4680" w:type="dxa"/>
          </w:tcPr>
          <w:p>
            <w:r>
              <w:t xml:space="preserve">SQL-Backups (Ola Hallengren Jobs)</w:t>
            </w:r>
          </w:p>
        </w:tc>
      </w:tr>
    </w:tbl>
    <w:p/>
    <w:p>
      <w:pPr>
        <w:pStyle w:val="Heading1"/>
      </w:pPr>
      <w:r>
        <w:t xml:space="preserve">10. SQL Agent Jobs nach PostInstall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Job-Name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Typ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Erstellt durch</w:t>
            </w:r>
          </w:p>
        </w:tc>
      </w:tr>
      <w:tr>
        <w:tc>
          <w:tcPr>
            <w:tcW w:w="3120" w:type="dxa"/>
          </w:tcPr>
          <w:p>
            <w:r>
              <w:t xml:space="preserve">FITS IndexOptimize - USER_DATABASES</w:t>
            </w:r>
          </w:p>
        </w:tc>
        <w:tc>
          <w:tcPr>
            <w:tcW w:w="3120" w:type="dxa"/>
          </w:tcPr>
          <w:p>
            <w:r>
              <w:t xml:space="preserve">Wöchentliche Index-Optimierung</w:t>
            </w:r>
          </w:p>
        </w:tc>
        <w:tc>
          <w:tcPr>
            <w:tcW w:w="3120" w:type="dxa"/>
          </w:tcPr>
          <w:p>
            <w:r>
              <w:t xml:space="preserve">Schritt 13</w:t>
            </w:r>
          </w:p>
        </w:tc>
      </w:tr>
      <w:tr>
        <w:tc>
          <w:tcPr>
            <w:tcW w:w="3120" w:type="dxa"/>
          </w:tcPr>
          <w:p>
            <w:r>
              <w:t xml:space="preserve">FITS IntegrityCheck - ALL_DATABASES</w:t>
            </w:r>
          </w:p>
        </w:tc>
        <w:tc>
          <w:tcPr>
            <w:tcW w:w="3120" w:type="dxa"/>
          </w:tcPr>
          <w:p>
            <w:r>
              <w:t xml:space="preserve">Wöchentliche Integritätsprüfung</w:t>
            </w:r>
          </w:p>
        </w:tc>
        <w:tc>
          <w:tcPr>
            <w:tcW w:w="3120" w:type="dxa"/>
          </w:tcPr>
          <w:p>
            <w:r>
              <w:t xml:space="preserve">Schritt 13</w:t>
            </w:r>
          </w:p>
        </w:tc>
      </w:tr>
      <w:tr>
        <w:tc>
          <w:tcPr>
            <w:tcW w:w="3120" w:type="dxa"/>
          </w:tcPr>
          <w:p>
            <w:r>
              <w:t xml:space="preserve">FITS-SystemDatabases-FULL</w:t>
            </w:r>
          </w:p>
        </w:tc>
        <w:tc>
          <w:tcPr>
            <w:tcW w:w="3120" w:type="dxa"/>
          </w:tcPr>
          <w:p>
            <w:r>
              <w:t xml:space="preserve">Tägliches System-DB Backup</w:t>
            </w:r>
          </w:p>
        </w:tc>
        <w:tc>
          <w:tcPr>
            <w:tcW w:w="3120" w:type="dxa"/>
          </w:tcPr>
          <w:p>
            <w:r>
              <w:t xml:space="preserve">Schritt 14</w:t>
            </w:r>
          </w:p>
        </w:tc>
      </w:tr>
      <w:tr>
        <w:tc>
          <w:tcPr>
            <w:tcW w:w="3120" w:type="dxa"/>
          </w:tcPr>
          <w:p>
            <w:r>
              <w:t xml:space="preserve">FITS-UserDatabases-FULL</w:t>
            </w:r>
          </w:p>
        </w:tc>
        <w:tc>
          <w:tcPr>
            <w:tcW w:w="3120" w:type="dxa"/>
          </w:tcPr>
          <w:p>
            <w:r>
              <w:t xml:space="preserve">Wöchentliches FULL-Backup</w:t>
            </w:r>
          </w:p>
        </w:tc>
        <w:tc>
          <w:tcPr>
            <w:tcW w:w="3120" w:type="dxa"/>
          </w:tcPr>
          <w:p>
            <w:r>
              <w:t xml:space="preserve">Schritt 15</w:t>
            </w:r>
          </w:p>
        </w:tc>
      </w:tr>
      <w:tr>
        <w:tc>
          <w:tcPr>
            <w:tcW w:w="3120" w:type="dxa"/>
          </w:tcPr>
          <w:p>
            <w:r>
              <w:t xml:space="preserve">FITS-UserDatabases-DIFF</w:t>
            </w:r>
          </w:p>
        </w:tc>
        <w:tc>
          <w:tcPr>
            <w:tcW w:w="3120" w:type="dxa"/>
          </w:tcPr>
          <w:p>
            <w:r>
              <w:t xml:space="preserve">Tägliches DIFF-Backup</w:t>
            </w:r>
          </w:p>
        </w:tc>
        <w:tc>
          <w:tcPr>
            <w:tcW w:w="3120" w:type="dxa"/>
          </w:tcPr>
          <w:p>
            <w:r>
              <w:t xml:space="preserve">Schritt 15</w:t>
            </w:r>
          </w:p>
        </w:tc>
      </w:tr>
      <w:tr>
        <w:tc>
          <w:tcPr>
            <w:tcW w:w="3120" w:type="dxa"/>
          </w:tcPr>
          <w:p>
            <w:r>
              <w:t xml:space="preserve">FITS-UserDatabases-LOG</w:t>
            </w:r>
          </w:p>
        </w:tc>
        <w:tc>
          <w:tcPr>
            <w:tcW w:w="3120" w:type="dxa"/>
          </w:tcPr>
          <w:p>
            <w:r>
              <w:t xml:space="preserve">Stündliches LOG-Backup</w:t>
            </w:r>
          </w:p>
        </w:tc>
        <w:tc>
          <w:tcPr>
            <w:tcW w:w="3120" w:type="dxa"/>
          </w:tcPr>
          <w:p>
            <w:r>
              <w:t xml:space="preserve">Schritt 15</w:t>
            </w:r>
          </w:p>
        </w:tc>
      </w:tr>
    </w:tbl>
    <w:p/>
    <w:p>
      <w:pPr>
        <w:pStyle w:val="Heading1"/>
      </w:pPr>
      <w:r>
        <w:t xml:space="preserve">11. Fehlerbehebung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Symptom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Ursache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Lösung</w:t>
            </w:r>
          </w:p>
        </w:tc>
      </w:tr>
      <w:tr>
        <w:tc>
          <w:tcPr>
            <w:tcW w:w="3120" w:type="dxa"/>
          </w:tcPr>
          <w:p>
            <w:r>
              <w:t xml:space="preserve">Install-DbaInstance schlägt fehl</w:t>
            </w:r>
          </w:p>
        </w:tc>
        <w:tc>
          <w:tcPr>
            <w:tcW w:w="3120" w:type="dxa"/>
          </w:tcPr>
          <w:p>
            <w:r>
              <w:t xml:space="preserve">Quellen nicht kopiert</w:t>
            </w:r>
          </w:p>
        </w:tc>
        <w:tc>
          <w:tcPr>
            <w:tcW w:w="3120" w:type="dxa"/>
          </w:tcPr>
          <w:p>
            <w:r>
              <w:t xml:space="preserve">Erst Phase 1 (Quellen kopieren) ausführen. setup.exe unter C:\SQLSources\SQL&lt;Ver&gt;\SQL_Install prüfen.</w:t>
            </w:r>
          </w:p>
        </w:tc>
      </w:tr>
      <w:tr>
        <w:tc>
          <w:tcPr>
            <w:tcW w:w="3120" w:type="dxa"/>
          </w:tcPr>
          <w:p>
            <w:r>
              <w:t xml:space="preserve">SQL Server nach Install unerreichbar</w:t>
            </w:r>
          </w:p>
        </w:tc>
        <w:tc>
          <w:tcPr>
            <w:tcW w:w="3120" w:type="dxa"/>
          </w:tcPr>
          <w:p>
            <w:r>
              <w:t xml:space="preserve">Dienst noch nicht bereit</w:t>
            </w:r>
          </w:p>
        </w:tc>
        <w:tc>
          <w:tcPr>
            <w:tcW w:w="3120" w:type="dxa"/>
          </w:tcPr>
          <w:p>
            <w:r>
              <w:t xml:space="preserve">Tool wartet 30 Sek. automatisch. Danach: Get-Service MSSQLSERVER prüfen.</w:t>
            </w:r>
          </w:p>
        </w:tc>
      </w:tr>
      <w:tr>
        <w:tc>
          <w:tcPr>
            <w:tcW w:w="3120" w:type="dxa"/>
          </w:tcPr>
          <w:p>
            <w:r>
              <w:t xml:space="preserve">NTFS-Schritt fehlgeschlagen</w:t>
            </w:r>
          </w:p>
        </w:tc>
        <w:tc>
          <w:tcPr>
            <w:tcW w:w="3120" w:type="dxa"/>
          </w:tcPr>
          <w:p>
            <w:r>
              <w:t xml:space="preserve">Kein WMI-Zugriff</w:t>
            </w:r>
          </w:p>
        </w:tc>
        <w:tc>
          <w:tcPr>
            <w:tcW w:w="3120" w:type="dxa"/>
          </w:tcPr>
          <w:p>
            <w:r>
              <w:t xml:space="preserve">Als Administrator ausführen. WMI-Dienst (winmgmt) prüfen.</w:t>
            </w:r>
          </w:p>
        </w:tc>
      </w:tr>
      <w:tr>
        <w:tc>
          <w:tcPr>
            <w:tcW w:w="3120" w:type="dxa"/>
          </w:tcPr>
          <w:p>
            <w:r>
              <w:t xml:space="preserve">SA-Obfuscation: AbortedNoSysadmin</w:t>
            </w:r>
          </w:p>
        </w:tc>
        <w:tc>
          <w:tcPr>
            <w:tcW w:w="3120" w:type="dxa"/>
          </w:tcPr>
          <w:p>
            <w:r>
              <w:t xml:space="preserve">Kein weiteres sysadmin-Login</w:t>
            </w:r>
          </w:p>
        </w:tc>
        <w:tc>
          <w:tcPr>
            <w:tcW w:w="3120" w:type="dxa"/>
          </w:tcPr>
          <w:p>
            <w:r>
              <w:t xml:space="preserve">[SysadminGroups] konfigurieren — Schritt 7 muss zuerst erfolgreich sein.</w:t>
            </w:r>
          </w:p>
        </w:tc>
      </w:tr>
      <w:tr>
        <w:tc>
          <w:tcPr>
            <w:tcW w:w="3120" w:type="dxa"/>
          </w:tcPr>
          <w:p>
            <w:r>
              <w:t xml:space="preserve">Ola-Installation schlägt fehl</w:t>
            </w:r>
          </w:p>
        </w:tc>
        <w:tc>
          <w:tcPr>
            <w:tcW w:w="3120" w:type="dxa"/>
          </w:tcPr>
          <w:p>
            <w:r>
              <w:t xml:space="preserve">Kein Internet, kein lokaler Pfad</w:t>
            </w:r>
          </w:p>
        </w:tc>
        <w:tc>
          <w:tcPr>
            <w:tcW w:w="3120" w:type="dxa"/>
          </w:tcPr>
          <w:p>
            <w:r>
              <w:t xml:space="preserve">OlaSourcePath in [Maintenance] auf entpacktes ZIP-Verzeichnis setzen.</w:t>
            </w:r>
          </w:p>
        </w:tc>
      </w:tr>
      <w:tr>
        <w:tc>
          <w:tcPr>
            <w:tcW w:w="3120" w:type="dxa"/>
          </w:tcPr>
          <w:p>
            <w:r>
              <w:t xml:space="preserve">dbaTools nicht verfügbar</w:t>
            </w:r>
          </w:p>
        </w:tc>
        <w:tc>
          <w:tcPr>
            <w:tcW w:w="3120" w:type="dxa"/>
          </w:tcPr>
          <w:p>
            <w:r>
              <w:t xml:space="preserve">Share unerreichbar</w:t>
            </w:r>
          </w:p>
        </w:tc>
        <w:tc>
          <w:tcPr>
            <w:tcW w:w="3120" w:type="dxa"/>
          </w:tcPr>
          <w:p>
            <w:r>
              <w:t xml:space="preserve">dbaTools manuell installieren: Install-Module dbatools -Scope AllUsers</w:t>
            </w:r>
          </w:p>
        </w:tc>
      </w:tr>
      <w:tr>
        <w:tc>
          <w:tcPr>
            <w:tcW w:w="3120" w:type="dxa"/>
          </w:tcPr>
          <w:p>
            <w:r>
              <w:t xml:space="preserve">Laufwerk nicht gefunden (Warnung)</w:t>
            </w:r>
          </w:p>
        </w:tc>
        <w:tc>
          <w:tcPr>
            <w:tcW w:w="3120" w:type="dxa"/>
          </w:tcPr>
          <w:p>
            <w:r>
              <w:t xml:space="preserve">Laufwerk fehlt oder offline</w:t>
            </w:r>
          </w:p>
        </w:tc>
        <w:tc>
          <w:tcPr>
            <w:tcW w:w="3120" w:type="dxa"/>
          </w:tcPr>
          <w:p>
            <w:r>
              <w:t xml:space="preserve">Formular zeigt Warndialog — nach Bestätigung kann fortgefahren werden</w:t>
            </w:r>
          </w:p>
        </w:tc>
      </w:tr>
    </w:tbl>
    <w:p/>
    <w:sectPr>
      <w:pgSz w:w="11906" w:h="16838"/>
      <w:pgMar w:top="1134" w:right="850" w:bottom="1134" w:left="1701" w:header="709" w:footer="709" w:gutter="0"/>
    </w:sectPr>
  </w:body>
</w:document>
</file>

<file path=word/settings.xml><?xml version="1.0" encoding="utf-8"?>
<w:settings xmlns:w="http://schemas.openxmlformats.org/wordprocessingml/2006/main"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de-DE"/>
      </w:rPr>
    </w:rPrDefault>
  </w:docDefaults>
  <w:style w:type="paragraph" w:styleId="Normal">
    <w:name w:val="Normal"/>
    <w:rPr>
      <w:rFonts w:ascii="Calibri" w:hAnsi="Calibri"/>
      <w:sz w:val="22"/>
    </w:rPr>
  </w:style>
  <w:style w:type="paragraph" w:styleId="Heading1">
    <w:name w:val="heading 1"/>
    <w:pPr>
      <w:numPr>
        <w:ilvl w:val="0"/>
      </w:numPr>
      <w:spacing w:before="240" w:after="60"/>
      <w:outlineLvl w:val="0"/>
    </w:pPr>
    <w:rPr>
      <w:rFonts w:ascii="Calibri Light" w:hAnsi="Calibri Light"/>
      <w:color w:val="2E74B5"/>
      <w:sz w:val="32"/>
      <w:b/>
    </w:rPr>
  </w:style>
  <w:style w:type="paragraph" w:styleId="Heading2">
    <w:name w:val="heading 2"/>
    <w:pPr>
      <w:spacing w:before="200" w:after="40"/>
      <w:outlineLvl w:val="1"/>
    </w:pPr>
    <w:rPr>
      <w:rFonts w:ascii="Calibri Light" w:hAnsi="Calibri Light"/>
      <w:color w:val="2E74B5"/>
      <w:sz w:val="26"/>
      <w:b/>
    </w:rPr>
  </w:style>
  <w:style w:type="paragraph" w:styleId="Heading3">
    <w:name w:val="heading 3"/>
    <w:pPr>
      <w:spacing w:before="160" w:after="40"/>
      <w:outlineLvl w:val="2"/>
    </w:pPr>
    <w:rPr>
      <w:rFonts w:ascii="Calibri Light" w:hAnsi="Calibri Light"/>
      <w:color w:val="1F4E79"/>
      <w:sz w:val="24"/>
      <w:b/>
    </w:rPr>
  </w:style>
  <w:style w:type="paragraph" w:styleId="Title">
    <w:name w:val="Title"/>
    <w:pPr>
      <w:spacing w:before="0" w:after="80"/>
      <w:jc w:val="left"/>
    </w:pPr>
    <w:rPr>
      <w:rFonts w:ascii="Calibri Light" w:hAnsi="Calibri Light"/>
      <w:color w:val="2E74B5"/>
      <w:sz w:val="52"/>
      <w:b/>
    </w:rPr>
  </w:style>
  <w:style w:type="paragraph" w:styleId="Subtitle">
    <w:name w:val="Subtitle"/>
    <w:pPr>
      <w:spacing w:before="0" w:after="80"/>
    </w:pPr>
    <w:rPr>
      <w:rFonts w:ascii="Calibri Light" w:hAnsi="Calibri Light"/>
      <w:color w:val="595959"/>
      <w:sz w:val="28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Calibri" w:hAnsi="Calibri"/>
      <w:sz w:val="20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 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dtcSoftware SQLSetupTool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SQL Server Setup Tool — Installations- und PostInstall-Ablauf</dc:title>
  <dc:creator>Uwe Janke — dtcSoftware</dc:creator>
  <dcterms:created xmlns:xsi="http://www.w3.org/2001/XMLSchema-instance" xsi:type="dcterms:W3CDTF">2026-05-12T23:27:01Z</dcterms:created>
</cp:coreProperties>
</file>