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          Target="docProps/core.xml"/>
  <Relationship Id="rId3" Type="http://schemas.openxmlformats.org/officeDocument/2006/relationships/extended-properties"        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SQL Server Setup Tool</w:t>
      </w:r>
    </w:p>
    <w:p>
      <w:pPr>
        <w:pStyle w:val="Subtitle"/>
      </w:pPr>
      <w:r>
        <w:t xml:space="preserve">Konfigurationsreferenz — settings.ini</w:t>
      </w:r>
    </w:p>
    <w:p>
      <w:r>
        <w:t xml:space="preserve">dtcSoftware  |  Uwe Janke  |  Stand: Mai 2026</w:t>
      </w:r>
    </w:p>
    <w:p>
      <w:r>
        <w:br w:type="page"/>
      </w:r>
    </w:p>
    <w:p>
      <w:pPr>
        <w:pStyle w:val="Heading1"/>
      </w:pPr>
      <w:r>
        <w:t xml:space="preserve">1. Übersicht</w:t>
      </w:r>
    </w:p>
    <w:p>
      <w:r>
        <w:t xml:space="preserve">Das SQL Server Setup Tool standardisiert die Installation von SQL Server in der FI-TS-Umgebung. Alle Parameter werden zentral in der Datei settings.ini konfiguriert. Das Tool liest diese Datei beim Start, erkennt die Active-Directory-Domäne des Servers und wählt automatisch domänenspezifische Werte (Sortierung, Laufwerkslayout, Monitoring-Typ, Sysadmin-Gruppen).</w:t>
      </w:r>
    </w:p>
    <w:p>
      <w:r>
        <w:t xml:space="preserve">Pfad zur Konfigurationsdatei:  C:\CCM\SQLSetupTool\Config\settings.ini</w:t>
      </w:r>
    </w:p>
    <w:p>
      <w:pPr>
        <w:pStyle w:val="Heading2"/>
      </w:pPr>
      <w:r>
        <w:t xml:space="preserve">1.1 Domänenlogik</w:t>
      </w:r>
    </w:p>
    <w:p>
      <w:r>
        <w:t xml:space="preserve">Für mehrere Sektionen können domänenspezifische Werte hinterlegt werden. Das Tool erkennt den NetBIOS-Namen der Domäne (z. B. HLB, CONTOSO) und verwendet bevorzugt den Eintrag Domain_&lt;NETBIOSNAME&gt;. Existiert kein Domänen-Eintrag, gilt der Schlüssel Standard als Fallback.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Sektion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Domänen-Schlüsselformat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</w:t>
            </w:r>
          </w:p>
        </w:tc>
      </w:tr>
      <w:tr>
        <w:tc>
          <w:tcPr>
            <w:tcW w:w="3120" w:type="dxa"/>
          </w:tcPr>
          <w:p>
            <w:r>
              <w:t xml:space="preserve">[Collations]</w:t>
            </w:r>
          </w:p>
        </w:tc>
        <w:tc>
          <w:tcPr>
            <w:tcW w:w="3120" w:type="dxa"/>
          </w:tcPr>
          <w:p>
            <w:r>
              <w:t xml:space="preserve">Domain_&lt;NAME&gt;</w:t>
            </w:r>
          </w:p>
        </w:tc>
        <w:tc>
          <w:tcPr>
            <w:tcW w:w="3120" w:type="dxa"/>
          </w:tcPr>
          <w:p>
            <w:r>
              <w:t xml:space="preserve">Domain_HLB = SQL_Latin1_General_CP1_CI_AS</w:t>
            </w:r>
          </w:p>
        </w:tc>
      </w:tr>
      <w:tr>
        <w:tc>
          <w:tcPr>
            <w:tcW w:w="3120" w:type="dxa"/>
          </w:tcPr>
          <w:p>
            <w:r>
              <w:t xml:space="preserve">[DiskLayout_*]</w:t>
            </w:r>
          </w:p>
        </w:tc>
        <w:tc>
          <w:tcPr>
            <w:tcW w:w="3120" w:type="dxa"/>
          </w:tcPr>
          <w:p>
            <w:r>
              <w:t xml:space="preserve">Eigener Sektionsname</w:t>
            </w:r>
          </w:p>
        </w:tc>
        <w:tc>
          <w:tcPr>
            <w:tcW w:w="3120" w:type="dxa"/>
          </w:tcPr>
          <w:p>
            <w:r>
              <w:t xml:space="preserve">DiskLayout_HLB</w:t>
            </w:r>
          </w:p>
        </w:tc>
      </w:tr>
      <w:tr>
        <w:tc>
          <w:tcPr>
            <w:tcW w:w="3120" w:type="dxa"/>
          </w:tcPr>
          <w:p>
            <w:r>
              <w:t xml:space="preserve">[SysadminGroups]</w:t>
            </w:r>
          </w:p>
        </w:tc>
        <w:tc>
          <w:tcPr>
            <w:tcW w:w="3120" w:type="dxa"/>
          </w:tcPr>
          <w:p>
            <w:r>
              <w:t xml:space="preserve">Domain_&lt;NAME&gt;</w:t>
            </w:r>
          </w:p>
        </w:tc>
        <w:tc>
          <w:tcPr>
            <w:tcW w:w="3120" w:type="dxa"/>
          </w:tcPr>
          <w:p>
            <w:r>
              <w:t xml:space="preserve">Domain_HLB = HLB\Fg_DC_SqlAdminAll_Mod</w:t>
            </w:r>
          </w:p>
        </w:tc>
      </w:tr>
      <w:tr>
        <w:tc>
          <w:tcPr>
            <w:tcW w:w="3120" w:type="dxa"/>
          </w:tcPr>
          <w:p>
            <w:r>
              <w:t xml:space="preserve">[Monitoring]</w:t>
            </w:r>
          </w:p>
        </w:tc>
        <w:tc>
          <w:tcPr>
            <w:tcW w:w="3120" w:type="dxa"/>
          </w:tcPr>
          <w:p>
            <w:r>
              <w:t xml:space="preserve">Domain_&lt;NAME&gt;</w:t>
            </w:r>
          </w:p>
        </w:tc>
        <w:tc>
          <w:tcPr>
            <w:tcW w:w="3120" w:type="dxa"/>
          </w:tcPr>
          <w:p>
            <w:r>
              <w:t xml:space="preserve">Domain_HLB = 2</w:t>
            </w:r>
          </w:p>
        </w:tc>
      </w:tr>
    </w:tbl>
    <w:p/>
    <w:p>
      <w:pPr>
        <w:pStyle w:val="Heading1"/>
      </w:pPr>
      <w:r>
        <w:t xml:space="preserve">2. [General] — Grundeinstellungen</w:t>
      </w:r>
    </w:p>
    <w:p>
      <w:r>
        <w:t xml:space="preserve">Enthält die Vorgabewerte für das Installationsformular sowie den Pfad zum Quellenverzeichnis.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DefaultVersion</w:t>
            </w:r>
          </w:p>
        </w:tc>
        <w:tc>
          <w:tcPr>
            <w:tcW w:w="3120" w:type="dxa"/>
          </w:tcPr>
          <w:p>
            <w:r>
              <w:t xml:space="preserve">2022</w:t>
            </w:r>
          </w:p>
        </w:tc>
        <w:tc>
          <w:tcPr>
            <w:tcW w:w="3120" w:type="dxa"/>
          </w:tcPr>
          <w:p>
            <w:r>
              <w:t xml:space="preserve">SQL Server Version — füllt Versions-Combobox vor</w:t>
            </w:r>
          </w:p>
        </w:tc>
      </w:tr>
      <w:tr>
        <w:tc>
          <w:tcPr>
            <w:tcW w:w="3120" w:type="dxa"/>
          </w:tcPr>
          <w:p>
            <w:r>
              <w:t xml:space="preserve">DefaultEdition</w:t>
            </w:r>
          </w:p>
        </w:tc>
        <w:tc>
          <w:tcPr>
            <w:tcW w:w="3120" w:type="dxa"/>
          </w:tcPr>
          <w:p>
            <w:r>
              <w:t xml:space="preserve">Developer</w:t>
            </w:r>
          </w:p>
        </w:tc>
        <w:tc>
          <w:tcPr>
            <w:tcW w:w="3120" w:type="dxa"/>
          </w:tcPr>
          <w:p>
            <w:r>
              <w:t xml:space="preserve">SQL Server Edition — füllt Editions-Combobox vor</w:t>
            </w:r>
          </w:p>
        </w:tc>
      </w:tr>
      <w:tr>
        <w:tc>
          <w:tcPr>
            <w:tcW w:w="3120" w:type="dxa"/>
          </w:tcPr>
          <w:p>
            <w:r>
              <w:t xml:space="preserve">DefaultInstanceName</w:t>
            </w:r>
          </w:p>
        </w:tc>
        <w:tc>
          <w:tcPr>
            <w:tcW w:w="3120" w:type="dxa"/>
          </w:tcPr>
          <w:p>
            <w:r>
              <w:t xml:space="preserve">MSSQLServer</w:t>
            </w:r>
          </w:p>
        </w:tc>
        <w:tc>
          <w:tcPr>
            <w:tcW w:w="3120" w:type="dxa"/>
          </w:tcPr>
          <w:p>
            <w:r>
              <w:t xml:space="preserve">Instanzname; leer = Standard-Instanz</w:t>
            </w:r>
          </w:p>
        </w:tc>
      </w:tr>
      <w:tr>
        <w:tc>
          <w:tcPr>
            <w:tcW w:w="3120" w:type="dxa"/>
          </w:tcPr>
          <w:p>
            <w:r>
              <w:t xml:space="preserve">DefaultCollation</w:t>
            </w:r>
          </w:p>
        </w:tc>
        <w:tc>
          <w:tcPr>
            <w:tcW w:w="3120" w:type="dxa"/>
          </w:tcPr>
          <w:p>
            <w:r>
              <w:t xml:space="preserve">Latin1_General_CI_AS</w:t>
            </w:r>
          </w:p>
        </w:tc>
        <w:tc>
          <w:tcPr>
            <w:tcW w:w="3120" w:type="dxa"/>
          </w:tcPr>
          <w:p>
            <w:r>
              <w:t xml:space="preserve">Sortierung wenn keine Domänen-Collation greift</w:t>
            </w:r>
          </w:p>
        </w:tc>
      </w:tr>
      <w:tr>
        <w:tc>
          <w:tcPr>
            <w:tcW w:w="3120" w:type="dxa"/>
          </w:tcPr>
          <w:p>
            <w:r>
              <w:t xml:space="preserve">SourceShare</w:t>
            </w:r>
          </w:p>
        </w:tc>
        <w:tc>
          <w:tcPr>
            <w:tcW w:w="3120" w:type="dxa"/>
          </w:tcPr>
          <w:p>
            <w:r>
              <w:t xml:space="preserve">\\srv\SQLSources</w:t>
            </w:r>
          </w:p>
        </w:tc>
        <w:tc>
          <w:tcPr>
            <w:tcW w:w="3120" w:type="dxa"/>
          </w:tcPr>
          <w:p>
            <w:r>
              <w:t xml:space="preserve">UNC-Pfad zum Installationsmedien-Share</w:t>
            </w:r>
          </w:p>
        </w:tc>
      </w:tr>
    </w:tbl>
    <w:p/>
    <w:p>
      <w:pPr>
        <w:pStyle w:val="Heading1"/>
      </w:pPr>
      <w:r>
        <w:t xml:space="preserve">3. [Versions] und [Editions]</w:t>
      </w:r>
    </w:p>
    <w:p>
      <w:pPr>
        <w:pStyle w:val="Heading2"/>
      </w:pPr>
      <w:r>
        <w:t xml:space="preserve">3.1 [Versions]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A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K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</w:tbl>
    <w:p/>
    <w:p>
      <w:pPr>
        <w:pStyle w:val="Heading2"/>
      </w:pPr>
      <w:r>
        <w:t xml:space="preserve">3.2 [Editions]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Standard</w:t>
            </w:r>
          </w:p>
        </w:tc>
        <w:tc>
          <w:tcPr>
            <w:tcW w:w="3120" w:type="dxa"/>
          </w:tcPr>
          <w:p>
            <w:r>
              <w:t xml:space="preserve">Developer,Standard,Enterprise</w:t>
            </w:r>
          </w:p>
        </w:tc>
        <w:tc>
          <w:tcPr>
            <w:tcW w:w="3120" w:type="dxa"/>
          </w:tcPr>
          <w:p>
            <w:r>
              <w:t xml:space="preserve">Editionen für SQL 2019 und 2022</w:t>
            </w:r>
          </w:p>
        </w:tc>
      </w:tr>
      <w:tr>
        <w:tc>
          <w:tcPr>
            <w:tcW w:w="3120" w:type="dxa"/>
          </w:tcPr>
          <w:p>
            <w:r>
              <w:t xml:space="preserve">SQL2025</w:t>
            </w:r>
          </w:p>
        </w:tc>
        <w:tc>
          <w:tcPr>
            <w:tcW w:w="3120" w:type="dxa"/>
          </w:tcPr>
          <w:p>
            <w:r>
              <w:t xml:space="preserve">Developer-Standard,Developer-Enterprise</w:t>
            </w:r>
          </w:p>
        </w:tc>
        <w:tc>
          <w:tcPr>
            <w:tcW w:w="3120" w:type="dxa"/>
          </w:tcPr>
          <w:p>
            <w:r>
              <w:t xml:space="preserve">Sonderbezeichnungen für SQL Server 2025</w:t>
            </w:r>
          </w:p>
        </w:tc>
      </w:tr>
    </w:tbl>
    <w:p/>
    <w:p>
      <w:pPr>
        <w:pStyle w:val="Heading1"/>
      </w:pPr>
      <w:r>
        <w:t xml:space="preserve">4. [Collations] — Sortierungseinstellungen</w:t>
      </w:r>
    </w:p>
    <w:p>
      <w:r>
        <w:t xml:space="preserve">Legt Standard-Sortierung und domänenspezifische Vorgaben fest. Die vollständige Auswahlliste für das Formular wird aus Config\collations.txt gelesen (eine Sortierung pro Zeile, # = Kommentar). Ist eine Domänen-Sortierung konfiguriert, erscheint diese automatisch an erster Position der Combobox.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Standard</w:t>
            </w:r>
          </w:p>
        </w:tc>
        <w:tc>
          <w:tcPr>
            <w:tcW w:w="3120" w:type="dxa"/>
          </w:tcPr>
          <w:p>
            <w:r>
              <w:t xml:space="preserve">Latin1_General_CI_AS</w:t>
            </w:r>
          </w:p>
        </w:tc>
        <w:tc>
          <w:tcPr>
            <w:tcW w:w="3120" w:type="dxa"/>
          </w:tcPr>
          <w:p>
            <w:r>
              <w:t xml:space="preserve">Globale Vorgabe-Sortierung (Fallback)</w:t>
            </w:r>
          </w:p>
        </w:tc>
      </w:tr>
      <w:tr>
        <w:tc>
          <w:tcPr>
            <w:tcW w:w="3120" w:type="dxa"/>
          </w:tcPr>
          <w:p>
            <w:r>
              <w:t xml:space="preserve">Domain_CONTOSO</w:t>
            </w:r>
          </w:p>
        </w:tc>
        <w:tc>
          <w:tcPr>
            <w:tcW w:w="3120" w:type="dxa"/>
          </w:tcPr>
          <w:p>
            <w:r>
              <w:t xml:space="preserve">Latin1_General_CI_AS</w:t>
            </w:r>
          </w:p>
        </w:tc>
        <w:tc>
          <w:tcPr>
            <w:tcW w:w="3120" w:type="dxa"/>
          </w:tcPr>
          <w:p>
            <w:r>
              <w:t xml:space="preserve">Sortierung für Domäne CONTOSO</w:t>
            </w:r>
          </w:p>
        </w:tc>
      </w:tr>
      <w:tr>
        <w:tc>
          <w:tcPr>
            <w:tcW w:w="3120" w:type="dxa"/>
          </w:tcPr>
          <w:p>
            <w:r>
              <w:t xml:space="preserve">Domain_HLB</w:t>
            </w:r>
          </w:p>
        </w:tc>
        <w:tc>
          <w:tcPr>
            <w:tcW w:w="3120" w:type="dxa"/>
          </w:tcPr>
          <w:p>
            <w:r>
              <w:t xml:space="preserve">SQL_Latin1_General_CP1_CI_AS</w:t>
            </w:r>
          </w:p>
        </w:tc>
        <w:tc>
          <w:tcPr>
            <w:tcW w:w="3120" w:type="dxa"/>
          </w:tcPr>
          <w:p>
            <w:r>
              <w:t xml:space="preserve">Sortierung für Domäne HLB</w:t>
            </w:r>
          </w:p>
        </w:tc>
      </w:tr>
    </w:tbl>
    <w:p/>
    <w:p>
      <w:pPr>
        <w:pStyle w:val="Heading1"/>
      </w:pPr>
      <w:r>
        <w:t xml:space="preserve">5. [SerialNumbers] — Produktschlüssel</w:t>
      </w:r>
    </w:p>
    <w:p>
      <w:r>
        <w:t xml:space="preserve">Enthält die Lizenzschlüssel für jede Version-Editions-Kombination. Developer-Editionen benötigen keinen Schlüssel — Wert leer lassen. Das Tool wählt den passenden Schlüssel automatisch anhand der gewählten Kombination.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Format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Hinweis</w:t>
            </w:r>
          </w:p>
        </w:tc>
      </w:tr>
      <w:tr>
        <w:tc>
          <w:tcPr>
            <w:tcW w:w="3120" w:type="dxa"/>
          </w:tcPr>
          <w:p>
            <w:r>
              <w:t xml:space="preserve">SQL&lt;Version&gt;_&lt;Edition&gt;</w:t>
            </w:r>
          </w:p>
        </w:tc>
        <w:tc>
          <w:tcPr>
            <w:tcW w:w="3120" w:type="dxa"/>
          </w:tcPr>
          <w:p>
            <w:r>
              <w:t xml:space="preserve">SQL2022_Standard = XXXXX-XXXXX-XXXXX-XXXXX-XXXXX</w:t>
            </w:r>
          </w:p>
        </w:tc>
        <w:tc>
          <w:tcPr>
            <w:tcW w:w="3120" w:type="dxa"/>
          </w:tcPr>
          <w:p>
            <w:r>
              <w:t xml:space="preserve">Genau wie Version + Edition im Formular benennen</w:t>
            </w:r>
          </w:p>
        </w:tc>
      </w:tr>
      <w:tr>
        <w:tc>
          <w:tcPr>
            <w:tcW w:w="3120" w:type="dxa"/>
          </w:tcPr>
          <w:p>
            <w:r>
              <w:t xml:space="preserve">Developer-Edition</w:t>
            </w:r>
          </w:p>
        </w:tc>
        <w:tc>
          <w:tcPr>
            <w:tcW w:w="3120" w:type="dxa"/>
          </w:tcPr>
          <w:p>
            <w:r>
              <w:t xml:space="preserve">SQL2022_Developer =</w:t>
            </w:r>
          </w:p>
        </w:tc>
        <w:tc>
          <w:tcPr>
            <w:tcW w:w="3120" w:type="dxa"/>
          </w:tcPr>
          <w:p>
            <w:r>
              <w:t xml:space="preserve">Leer lassen — kein Schlüssel erforderlich</w:t>
            </w:r>
          </w:p>
        </w:tc>
      </w:tr>
      <w:tr>
        <w:tc>
          <w:tcPr>
            <w:tcW w:w="3120" w:type="dxa"/>
          </w:tcPr>
          <w:p>
            <w:r>
              <w:t xml:space="preserve">SQL2025-Format</w:t>
            </w:r>
          </w:p>
        </w:tc>
        <w:tc>
          <w:tcPr>
            <w:tcW w:w="3120" w:type="dxa"/>
          </w:tcPr>
          <w:p>
            <w:r>
              <w:t xml:space="preserve">SQL2025_Developer-Standard =</w:t>
            </w:r>
          </w:p>
        </w:tc>
        <w:tc>
          <w:tcPr>
            <w:tcW w:w="3120" w:type="dxa"/>
          </w:tcPr>
          <w:p>
            <w:r>
              <w:t xml:space="preserve">Bindestrich im Editionsnamen beachten</w:t>
            </w:r>
          </w:p>
        </w:tc>
      </w:tr>
    </w:tbl>
    <w:p/>
    <w:p>
      <w:pPr>
        <w:pStyle w:val="Heading1"/>
      </w:pPr>
      <w:r>
        <w:t xml:space="preserve">6. [DiskLayout_Standard] — Laufwerkszuordnung (FI-TS Standard)</w:t>
      </w:r>
    </w:p>
    <w:p>
      <w:r>
        <w:t xml:space="preserve">Definiert die Laufwerksbuchstaben für alle SQL-relevanten Verzeichnisse. Entspricht dem FI-TS-Referenzstandard für SQL Server 2022 Enterprise. Für ein abweichendes Layout eine eigene Sektion [DiskLayout_&lt;NETBIOS&gt;] anlegen.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FI-TS Laufwerk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Verwendung</w:t>
            </w:r>
          </w:p>
        </w:tc>
      </w:tr>
      <w:tr>
        <w:tc>
          <w:tcPr>
            <w:tcW w:w="3120" w:type="dxa"/>
          </w:tcPr>
          <w:p>
            <w:r>
              <w:t xml:space="preserve">DataDrive</w:t>
            </w:r>
          </w:p>
        </w:tc>
        <w:tc>
          <w:tcPr>
            <w:tcW w:w="3120" w:type="dxa"/>
          </w:tcPr>
          <w:p>
            <w:r>
              <w:t xml:space="preserve">G</w:t>
            </w:r>
          </w:p>
        </w:tc>
        <w:tc>
          <w:tcPr>
            <w:tcW w:w="3120" w:type="dxa"/>
          </w:tcPr>
          <w:p>
            <w:r>
              <w:t xml:space="preserve">Benutzerdatenbankdateien (.mdf, .ndf)  →  G:\Daten\SQL\&lt;Instanz&gt;\DATA</w:t>
            </w:r>
          </w:p>
        </w:tc>
      </w:tr>
      <w:tr>
        <w:tc>
          <w:tcPr>
            <w:tcW w:w="3120" w:type="dxa"/>
          </w:tcPr>
          <w:p>
            <w:r>
              <w:t xml:space="preserve">LogDrive</w:t>
            </w:r>
          </w:p>
        </w:tc>
        <w:tc>
          <w:tcPr>
            <w:tcW w:w="3120" w:type="dxa"/>
          </w:tcPr>
          <w:p>
            <w:r>
              <w:t xml:space="preserve">H</w:t>
            </w:r>
          </w:p>
        </w:tc>
        <w:tc>
          <w:tcPr>
            <w:tcW w:w="3120" w:type="dxa"/>
          </w:tcPr>
          <w:p>
            <w:r>
              <w:t xml:space="preserve">Transaktionsprotokolle (.ldf)           →  H:\Daten\SQL\&lt;Instanz&gt;\LOG</w:t>
            </w:r>
          </w:p>
        </w:tc>
      </w:tr>
      <w:tr>
        <w:tc>
          <w:tcPr>
            <w:tcW w:w="3120" w:type="dxa"/>
          </w:tcPr>
          <w:p>
            <w:r>
              <w:t xml:space="preserve">TempDrive</w:t>
            </w:r>
          </w:p>
        </w:tc>
        <w:tc>
          <w:tcPr>
            <w:tcW w:w="3120" w:type="dxa"/>
          </w:tcPr>
          <w:p>
            <w:r>
              <w:t xml:space="preserve">I</w:t>
            </w:r>
          </w:p>
        </w:tc>
        <w:tc>
          <w:tcPr>
            <w:tcW w:w="3120" w:type="dxa"/>
          </w:tcPr>
          <w:p>
            <w:r>
              <w:t xml:space="preserve">TempDB-Dateien                          →  I:\Daten\SQL\&lt;Instanz&gt;\DATA+LOG</w:t>
            </w:r>
          </w:p>
        </w:tc>
      </w:tr>
      <w:tr>
        <w:tc>
          <w:tcPr>
            <w:tcW w:w="3120" w:type="dxa"/>
          </w:tcPr>
          <w:p>
            <w:r>
              <w:t xml:space="preserve">BackupDrive</w:t>
            </w:r>
          </w:p>
        </w:tc>
        <w:tc>
          <w:tcPr>
            <w:tcW w:w="3120" w:type="dxa"/>
          </w:tcPr>
          <w:p>
            <w:r>
              <w:t xml:space="preserve">F</w:t>
            </w:r>
          </w:p>
        </w:tc>
        <w:tc>
          <w:tcPr>
            <w:tcW w:w="3120" w:type="dxa"/>
          </w:tcPr>
          <w:p>
            <w:r>
              <w:t xml:space="preserve">SQL-Backups + System-DBs (master etc.)  →  F:\Daten\SQL\Backup + F:\Microsoft SQL Server</w:t>
            </w:r>
          </w:p>
        </w:tc>
      </w:tr>
      <w:tr>
        <w:tc>
          <w:tcPr>
            <w:tcW w:w="3120" w:type="dxa"/>
          </w:tcPr>
          <w:p>
            <w:r>
              <w:t xml:space="preserve">InstallDrive</w:t>
            </w:r>
          </w:p>
        </w:tc>
        <w:tc>
          <w:tcPr>
            <w:tcW w:w="3120" w:type="dxa"/>
          </w:tcPr>
          <w:p>
            <w:r>
              <w:t xml:space="preserve">C</w:t>
            </w:r>
          </w:p>
        </w:tc>
        <w:tc>
          <w:tcPr>
            <w:tcW w:w="3120" w:type="dxa"/>
          </w:tcPr>
          <w:p>
            <w:r>
              <w:t xml:space="preserve">SQL-Binärdateien (INSTALLSHAREDDIR)     →  C:\Program Files\Microsoft SQL Server</w:t>
            </w:r>
          </w:p>
        </w:tc>
      </w:tr>
    </w:tbl>
    <w:p/>
    <w:p>
      <w:pPr>
        <w:pStyle w:val="Heading1"/>
      </w:pPr>
      <w:r>
        <w:t xml:space="preserve">7. [Paths] — Unterverzeichnispfade</w:t>
      </w:r>
    </w:p>
    <w:p>
      <w:r>
        <w:t xml:space="preserve">Definiert die Unterverzeichnisse unterhalb der Laufwerksbuchstaben. Der Instanz-Suffix (MSSQLSERVER bzw. MSSQL$&lt;Name&gt;) wird automatisch angehängt.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Ergibt (FI-TS Standard)</w:t>
            </w:r>
          </w:p>
        </w:tc>
      </w:tr>
      <w:tr>
        <w:tc>
          <w:tcPr>
            <w:tcW w:w="3120" w:type="dxa"/>
          </w:tcPr>
          <w:p>
            <w:r>
              <w:t xml:space="preserve">InstallSubPath</w:t>
            </w:r>
          </w:p>
        </w:tc>
        <w:tc>
          <w:tcPr>
            <w:tcW w:w="3120" w:type="dxa"/>
          </w:tcPr>
          <w:p>
            <w:r>
              <w:t xml:space="preserve">Program Files\Microsoft SQL Server</w:t>
            </w:r>
          </w:p>
        </w:tc>
        <w:tc>
          <w:tcPr>
            <w:tcW w:w="3120" w:type="dxa"/>
          </w:tcPr>
          <w:p>
            <w:r>
              <w:t xml:space="preserve">C:\Program Files\Microsoft SQL Server</w:t>
            </w:r>
          </w:p>
        </w:tc>
      </w:tr>
      <w:tr>
        <w:tc>
          <w:tcPr>
            <w:tcW w:w="3120" w:type="dxa"/>
          </w:tcPr>
          <w:p>
            <w:r>
              <w:t xml:space="preserve">SysDbSubPath</w:t>
            </w:r>
          </w:p>
        </w:tc>
        <w:tc>
          <w:tcPr>
            <w:tcW w:w="3120" w:type="dxa"/>
          </w:tcPr>
          <w:p>
            <w:r>
              <w:t xml:space="preserve">Microsoft SQL Server</w:t>
            </w:r>
          </w:p>
        </w:tc>
        <w:tc>
          <w:tcPr>
            <w:tcW w:w="3120" w:type="dxa"/>
          </w:tcPr>
          <w:p>
            <w:r>
              <w:t xml:space="preserve">F:\Microsoft SQL Server  (INSTALLSQLDATADIR)</w:t>
            </w:r>
          </w:p>
        </w:tc>
      </w:tr>
      <w:tr>
        <w:tc>
          <w:tcPr>
            <w:tcW w:w="3120" w:type="dxa"/>
          </w:tcPr>
          <w:p>
            <w:r>
              <w:t xml:space="preserve">DataSubPath</w:t>
            </w:r>
          </w:p>
        </w:tc>
        <w:tc>
          <w:tcPr>
            <w:tcW w:w="3120" w:type="dxa"/>
          </w:tcPr>
          <w:p>
            <w:r>
              <w:t xml:space="preserve">Daten\SQL</w:t>
            </w:r>
          </w:p>
        </w:tc>
        <w:tc>
          <w:tcPr>
            <w:tcW w:w="3120" w:type="dxa"/>
          </w:tcPr>
          <w:p>
            <w:r>
              <w:t xml:space="preserve">G:\Daten\SQL\MSSQLSERVER\DATA</w:t>
            </w:r>
          </w:p>
        </w:tc>
      </w:tr>
      <w:tr>
        <w:tc>
          <w:tcPr>
            <w:tcW w:w="3120" w:type="dxa"/>
          </w:tcPr>
          <w:p>
            <w:r>
              <w:t xml:space="preserve">LogSubPath</w:t>
            </w:r>
          </w:p>
        </w:tc>
        <w:tc>
          <w:tcPr>
            <w:tcW w:w="3120" w:type="dxa"/>
          </w:tcPr>
          <w:p>
            <w:r>
              <w:t xml:space="preserve">Daten\SQL</w:t>
            </w:r>
          </w:p>
        </w:tc>
        <w:tc>
          <w:tcPr>
            <w:tcW w:w="3120" w:type="dxa"/>
          </w:tcPr>
          <w:p>
            <w:r>
              <w:t xml:space="preserve">H:\Daten\SQL\MSSQLSERVER\LOG</w:t>
            </w:r>
          </w:p>
        </w:tc>
      </w:tr>
      <w:tr>
        <w:tc>
          <w:tcPr>
            <w:tcW w:w="3120" w:type="dxa"/>
          </w:tcPr>
          <w:p>
            <w:r>
              <w:t xml:space="preserve">TempSubPath</w:t>
            </w:r>
          </w:p>
        </w:tc>
        <w:tc>
          <w:tcPr>
            <w:tcW w:w="3120" w:type="dxa"/>
          </w:tcPr>
          <w:p>
            <w:r>
              <w:t xml:space="preserve">Daten\SQL</w:t>
            </w:r>
          </w:p>
        </w:tc>
        <w:tc>
          <w:tcPr>
            <w:tcW w:w="3120" w:type="dxa"/>
          </w:tcPr>
          <w:p>
            <w:r>
              <w:t xml:space="preserve">I:\Daten\SQL\MSSQLSERVER\DATA und LOG</w:t>
            </w:r>
          </w:p>
        </w:tc>
      </w:tr>
      <w:tr>
        <w:tc>
          <w:tcPr>
            <w:tcW w:w="3120" w:type="dxa"/>
          </w:tcPr>
          <w:p>
            <w:r>
              <w:t xml:space="preserve">BackupSubPath</w:t>
            </w:r>
          </w:p>
        </w:tc>
        <w:tc>
          <w:tcPr>
            <w:tcW w:w="3120" w:type="dxa"/>
          </w:tcPr>
          <w:p>
            <w:r>
              <w:t xml:space="preserve">Daten\SQL\Backup</w:t>
            </w:r>
          </w:p>
        </w:tc>
        <w:tc>
          <w:tcPr>
            <w:tcW w:w="3120" w:type="dxa"/>
          </w:tcPr>
          <w:p>
            <w:r>
              <w:t xml:space="preserve">F:\Daten\SQL\Backup\MSSQLSERVER</w:t>
            </w:r>
          </w:p>
        </w:tc>
      </w:tr>
    </w:tbl>
    <w:p/>
    <w:p>
      <w:r>
        <w:t xml:space="preserve">SysDbSubPath entspricht INSTALLSQLDATADIR in der SQL-Setup-INI. Hier werden master, model, msdb und tempdb (initial) abgelegt.</w:t>
      </w:r>
    </w:p>
    <w:p>
      <w:pPr>
        <w:pStyle w:val="Heading1"/>
      </w:pPr>
      <w:r>
        <w:t xml:space="preserve">8. [Installation] — Installationsparameter</w:t>
      </w:r>
    </w:p>
    <w:p>
      <w:pPr>
        <w:pStyle w:val="Heading2"/>
      </w:pPr>
      <w:r>
        <w:t xml:space="preserve">8.1 Features</w:t>
      </w:r>
    </w:p>
    <w:p>
      <w:r>
        <w:t xml:space="preserve">Kommagetrennte Liste der SQL-Server-Features die bei der Installation aktiviert werden. Wird direkt an Install-DbaInstance übergeben.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FI-TS 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F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E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E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</w:tbl>
    <w:p/>
    <w:p>
      <w:r>
        <w:t xml:space="preserve">Hinweis: SSIS (IS) kann über die GUI-Checkbox deaktiviert werden. Das Tool entfernt IS dann dynamisch aus der Feature-Liste vor der Installation.</w:t>
      </w:r>
    </w:p>
    <w:p>
      <w:pPr>
        <w:pStyle w:val="Heading2"/>
      </w:pPr>
      <w:r>
        <w:t xml:space="preserve">8.2 Sicherheit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InstantFileInit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Sofortige Dateiinitialisierung (SqlSvcInstantFileInit=True) — beschleunigt Datenbankoperationen erheblich</w:t>
            </w:r>
          </w:p>
        </w:tc>
      </w:tr>
      <w:tr>
        <w:tc>
          <w:tcPr>
            <w:tcW w:w="3120" w:type="dxa"/>
          </w:tcPr>
          <w:p>
            <w:r>
              <w:t xml:space="preserve">SysAdminAccounts</w:t>
            </w:r>
          </w:p>
        </w:tc>
        <w:tc>
          <w:tcPr>
            <w:tcW w:w="3120" w:type="dxa"/>
          </w:tcPr>
          <w:p>
            <w:r>
              <w:t xml:space="preserve">BUILTIN\Administrators</w:t>
            </w:r>
          </w:p>
        </w:tc>
        <w:tc>
          <w:tcPr>
            <w:tcW w:w="3120" w:type="dxa"/>
          </w:tcPr>
          <w:p>
            <w:r>
              <w:t xml:space="preserve">Initiale Sysadmin-Konten bei der Installation. AD-Gruppen werden separat über [SysadminGroups] zugewiesen.</w:t>
            </w:r>
          </w:p>
        </w:tc>
      </w:tr>
    </w:tbl>
    <w:p/>
    <w:p>
      <w:pPr>
        <w:pStyle w:val="Heading2"/>
      </w:pPr>
      <w:r>
        <w:t xml:space="preserve">8.3 TempDB-Initialkonfiguration</w:t>
      </w:r>
    </w:p>
    <w:p>
      <w:r>
        <w:t xml:space="preserve">Diese Werte werden beim SQL-Setup gesetzt. PostInstall optimiert die Dateianzahl anschliessend anhand der CPU-Anzahl (4–8 Dateien).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FI-TS Standard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TempDbFileCount</w:t>
            </w:r>
          </w:p>
        </w:tc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Anzahl TempDB-Datendateien beim Setup (PostInstall erhöht auf CPU-Basis)</w:t>
            </w:r>
          </w:p>
        </w:tc>
      </w:tr>
      <w:tr>
        <w:tc>
          <w:tcPr>
            <w:tcW w:w="3120" w:type="dxa"/>
          </w:tcPr>
          <w:p>
            <w:r>
              <w:t xml:space="preserve">TempDbFileSizeMB</w:t>
            </w:r>
          </w:p>
        </w:tc>
        <w:tc>
          <w:tcPr>
            <w:tcW w:w="3120" w:type="dxa"/>
          </w:tcPr>
          <w:p>
            <w:r>
              <w:t xml:space="preserve">1024</w:t>
            </w:r>
          </w:p>
        </w:tc>
        <w:tc>
          <w:tcPr>
            <w:tcW w:w="3120" w:type="dxa"/>
          </w:tcPr>
          <w:p>
            <w:r>
              <w:t xml:space="preserve">Initiale Grösse je TempDB-Datendatei in MB</w:t>
            </w:r>
          </w:p>
        </w:tc>
      </w:tr>
      <w:tr>
        <w:tc>
          <w:tcPr>
            <w:tcW w:w="3120" w:type="dxa"/>
          </w:tcPr>
          <w:p>
            <w:r>
              <w:t xml:space="preserve">TempDbFileGrowthMB</w:t>
            </w:r>
          </w:p>
        </w:tc>
        <w:tc>
          <w:tcPr>
            <w:tcW w:w="3120" w:type="dxa"/>
          </w:tcPr>
          <w:p>
            <w:r>
              <w:t xml:space="preserve">512</w:t>
            </w:r>
          </w:p>
        </w:tc>
        <w:tc>
          <w:tcPr>
            <w:tcW w:w="3120" w:type="dxa"/>
          </w:tcPr>
          <w:p>
            <w:r>
              <w:t xml:space="preserve">Autogrowth je TempDB-Datendatei in MB</w:t>
            </w:r>
          </w:p>
        </w:tc>
      </w:tr>
      <w:tr>
        <w:tc>
          <w:tcPr>
            <w:tcW w:w="3120" w:type="dxa"/>
          </w:tcPr>
          <w:p>
            <w:r>
              <w:t xml:space="preserve">TempDbLogFileSizeMB</w:t>
            </w:r>
          </w:p>
        </w:tc>
        <w:tc>
          <w:tcPr>
            <w:tcW w:w="3120" w:type="dxa"/>
          </w:tcPr>
          <w:p>
            <w:r>
              <w:t xml:space="preserve">1024</w:t>
            </w:r>
          </w:p>
        </w:tc>
        <w:tc>
          <w:tcPr>
            <w:tcW w:w="3120" w:type="dxa"/>
          </w:tcPr>
          <w:p>
            <w:r>
              <w:t xml:space="preserve">Initiale Grösse TempDB-Logdatei in MB</w:t>
            </w:r>
          </w:p>
        </w:tc>
      </w:tr>
      <w:tr>
        <w:tc>
          <w:tcPr>
            <w:tcW w:w="3120" w:type="dxa"/>
          </w:tcPr>
          <w:p>
            <w:r>
              <w:t xml:space="preserve">TempDbLogGrowthMB</w:t>
            </w:r>
          </w:p>
        </w:tc>
        <w:tc>
          <w:tcPr>
            <w:tcW w:w="3120" w:type="dxa"/>
          </w:tcPr>
          <w:p>
            <w:r>
              <w:t xml:space="preserve">512</w:t>
            </w:r>
          </w:p>
        </w:tc>
        <w:tc>
          <w:tcPr>
            <w:tcW w:w="3120" w:type="dxa"/>
          </w:tcPr>
          <w:p>
            <w:r>
              <w:t xml:space="preserve">Autogrowth TempDB-Logdatei in MB</w:t>
            </w:r>
          </w:p>
        </w:tc>
      </w:tr>
    </w:tbl>
    <w:p/>
    <w:p>
      <w:pPr>
        <w:pStyle w:val="Heading2"/>
      </w:pPr>
      <w:r>
        <w:t xml:space="preserve">8.4 Netzwerk und Dienste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TcpEnabled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TCP/IP-Protokoll aktivieren (FI-TS Standard: true)</w:t>
            </w:r>
          </w:p>
        </w:tc>
      </w:tr>
      <w:tr>
        <w:tc>
          <w:tcPr>
            <w:tcW w:w="3120" w:type="dxa"/>
          </w:tcPr>
          <w:p>
            <w:r>
              <w:t xml:space="preserve">NpEnabled</w:t>
            </w:r>
          </w:p>
        </w:tc>
        <w:tc>
          <w:tcPr>
            <w:tcW w:w="3120" w:type="dxa"/>
          </w:tcPr>
          <w:p>
            <w:r>
              <w:t xml:space="preserve">false</w:t>
            </w:r>
          </w:p>
        </w:tc>
        <w:tc>
          <w:tcPr>
            <w:tcW w:w="3120" w:type="dxa"/>
          </w:tcPr>
          <w:p>
            <w:r>
              <w:t xml:space="preserve">Named Pipes aktivieren (FI-TS Standard: false)</w:t>
            </w:r>
          </w:p>
        </w:tc>
      </w:tr>
      <w:tr>
        <w:tc>
          <w:tcPr>
            <w:tcW w:w="3120" w:type="dxa"/>
          </w:tcPr>
          <w:p>
            <w:r>
              <w:t xml:space="preserve">BrowserSvcDisabled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SQL Browser Service nach Installation deaktivieren (FI-TS Standard: true)</w:t>
            </w:r>
          </w:p>
        </w:tc>
      </w:tr>
    </w:tbl>
    <w:p/>
    <w:p>
      <w:pPr>
        <w:pStyle w:val="Heading1"/>
      </w:pPr>
      <w:r>
        <w:t xml:space="preserve">9. Modul-Konfiguration</w:t>
      </w:r>
    </w:p>
    <w:p>
      <w:pPr>
        <w:pStyle w:val="Heading2"/>
      </w:pPr>
      <w:r>
        <w:t xml:space="preserve">9.1 [dbaTools]</w:t>
      </w:r>
    </w:p>
    <w:p>
      <w:r>
        <w:t xml:space="preserve">Pfad zum dbaTools-Modul im Netzwerk-Share. Das Tool prüft die Erreichbarkeit und fällt auf die PowerShell Gallery zurück wenn der Share nicht verfügbar ist. Unter ShareBasePath werden zwei Unterordner erwartet: dbatools\ und dbatools.library\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ShareBasePath</w:t>
            </w:r>
          </w:p>
        </w:tc>
        <w:tc>
          <w:tcPr>
            <w:tcW w:w="3120" w:type="dxa"/>
          </w:tcPr>
          <w:p>
            <w:r>
              <w:t xml:space="preserve">W:\75084-Datenbanken\MSSQL\CCM\_MSSQL_GUI\01_PreInstall</w:t>
            </w:r>
          </w:p>
        </w:tc>
        <w:tc>
          <w:tcPr>
            <w:tcW w:w="3120" w:type="dxa"/>
          </w:tcPr>
          <w:p>
            <w:r>
              <w:t xml:space="preserve">Basisverzeichnis auf dem Share</w:t>
            </w:r>
          </w:p>
        </w:tc>
      </w:tr>
      <w:tr>
        <w:tc>
          <w:tcPr>
            <w:tcW w:w="3120" w:type="dxa"/>
          </w:tcPr>
          <w:p>
            <w:r>
              <w:t xml:space="preserve">ModuleName</w:t>
            </w:r>
          </w:p>
        </w:tc>
        <w:tc>
          <w:tcPr>
            <w:tcW w:w="3120" w:type="dxa"/>
          </w:tcPr>
          <w:p>
            <w:r>
              <w:t xml:space="preserve">dbatools</w:t>
            </w:r>
          </w:p>
        </w:tc>
        <w:tc>
          <w:tcPr>
            <w:tcW w:w="3120" w:type="dxa"/>
          </w:tcPr>
          <w:p>
            <w:r>
              <w:t xml:space="preserve">Name des Moduls und Unterordners (Standard: dbatools)</w:t>
            </w:r>
          </w:p>
        </w:tc>
      </w:tr>
    </w:tbl>
    <w:p/>
    <w:p>
      <w:pPr>
        <w:pStyle w:val="Heading2"/>
      </w:pPr>
      <w:r>
        <w:t xml:space="preserve">9.2 [sqmSQLTool]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ShareBasePath</w:t>
            </w:r>
          </w:p>
        </w:tc>
        <w:tc>
          <w:tcPr>
            <w:tcW w:w="3120" w:type="dxa"/>
          </w:tcPr>
          <w:p>
            <w:r>
              <w:t xml:space="preserve">C:\CCM oder W:\...\DTC</w:t>
            </w:r>
          </w:p>
        </w:tc>
        <w:tc>
          <w:tcPr>
            <w:tcW w:w="3120" w:type="dxa"/>
          </w:tcPr>
          <w:p>
            <w:r>
              <w:t xml:space="preserve">Basisverzeichnis; darunter: sqmSQLTool\sqmSQLTool.psd1</w:t>
            </w:r>
          </w:p>
        </w:tc>
      </w:tr>
      <w:tr>
        <w:tc>
          <w:tcPr>
            <w:tcW w:w="3120" w:type="dxa"/>
          </w:tcPr>
          <w:p>
            <w:r>
              <w:t xml:space="preserve">ModuleName</w:t>
            </w:r>
          </w:p>
        </w:tc>
        <w:tc>
          <w:tcPr>
            <w:tcW w:w="3120" w:type="dxa"/>
          </w:tcPr>
          <w:p>
            <w:r>
              <w:t xml:space="preserve">sqmSQLTool</w:t>
            </w:r>
          </w:p>
        </w:tc>
        <w:tc>
          <w:tcPr>
            <w:tcW w:w="3120" w:type="dxa"/>
          </w:tcPr>
          <w:p>
            <w:r>
              <w:t xml:space="preserve">Name des Moduls (Standard: sqmSQLTool)</w:t>
            </w:r>
          </w:p>
        </w:tc>
      </w:tr>
    </w:tbl>
    <w:p/>
    <w:p>
      <w:pPr>
        <w:pStyle w:val="Heading1"/>
      </w:pPr>
      <w:r>
        <w:t xml:space="preserve">10. [Maintenance] — Ola Hallengren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O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(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L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11. [PostInstall] — PostInstall-Optionen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S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f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  <w:tr>
        <w:tc>
          <w:tcPr>
            <w:tcW w:w="3120" w:type="dxa"/>
          </w:tcPr>
          <w:p>
            <w:r>
              <w:t xml:space="preserve">t</w:t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  <w:tc>
          <w:tcPr>
            <w:tcW w:w="3120" w:type="dxa"/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12. [SysadminGroups] — AD-Sysadmin-Gruppen</w:t>
      </w:r>
    </w:p>
    <w:p>
      <w:r>
        <w:t xml:space="preserve">Definiert AD-Gruppen die nach der Installation zur sysadmin-Serverrolle hinzugefügt werden. Domänenspezifischer Eintrag hat Vorrang vor Standard.</w:t>
      </w:r>
    </w:p>
    <w:p>
      <w:r>
        <w:t xml:space="preserve">Sicherheitsprinzip: SA-Obfuscation wird nur ausgeführt wenn mindestens eine Gruppe erfolgreich zugewiesen wurde. So ist gewährleistet dass immer ein alternativer Sysadmin-Zugang existiert bevor der SA-Account verschleiert wird.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Beispielwert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Domain_CONTOSO</w:t>
            </w:r>
          </w:p>
        </w:tc>
        <w:tc>
          <w:tcPr>
            <w:tcW w:w="3120" w:type="dxa"/>
          </w:tcPr>
          <w:p>
            <w:r>
              <w:t xml:space="preserve">CONTOSO\Rg_SQL_Sysadmin</w:t>
            </w:r>
          </w:p>
        </w:tc>
        <w:tc>
          <w:tcPr>
            <w:tcW w:w="3120" w:type="dxa"/>
          </w:tcPr>
          <w:p>
            <w:r>
              <w:t xml:space="preserve">Sysadmin-Gruppe für Domäne CONTOSO (kommagetrennt für mehrere Gruppen)</w:t>
            </w:r>
          </w:p>
        </w:tc>
      </w:tr>
      <w:tr>
        <w:tc>
          <w:tcPr>
            <w:tcW w:w="3120" w:type="dxa"/>
          </w:tcPr>
          <w:p>
            <w:r>
              <w:t xml:space="preserve">Domain_HLB</w:t>
            </w:r>
          </w:p>
        </w:tc>
        <w:tc>
          <w:tcPr>
            <w:tcW w:w="3120" w:type="dxa"/>
          </w:tcPr>
          <w:p>
            <w:r>
              <w:t xml:space="preserve">HLB\Fg_DC_SqlAdminAll_Mod</w:t>
            </w:r>
          </w:p>
        </w:tc>
        <w:tc>
          <w:tcPr>
            <w:tcW w:w="3120" w:type="dxa"/>
          </w:tcPr>
          <w:p>
            <w:r>
              <w:t xml:space="preserve">Sysadmin-Gruppe für Domäne HLB</w:t>
            </w:r>
          </w:p>
        </w:tc>
      </w:tr>
      <w:tr>
        <w:tc>
          <w:tcPr>
            <w:tcW w:w="3120" w:type="dxa"/>
          </w:tcPr>
          <w:p>
            <w:r>
              <w:t xml:space="preserve">Standard</w:t>
            </w:r>
          </w:p>
        </w:tc>
        <w:tc>
          <w:tcPr>
            <w:tcW w:w="3120" w:type="dxa"/>
          </w:tcPr>
          <w:p>
            <w:r>
              <w:t xml:space="preserve">(leer)</w:t>
            </w:r>
          </w:p>
        </w:tc>
        <w:tc>
          <w:tcPr>
            <w:tcW w:w="3120" w:type="dxa"/>
          </w:tcPr>
          <w:p>
            <w:r>
              <w:t xml:space="preserve">Fallback — leer = keine Gruppe, SA-Obfuscation wird übersprungen</w:t>
            </w:r>
          </w:p>
        </w:tc>
      </w:tr>
    </w:tbl>
    <w:p/>
    <w:p>
      <w:pPr>
        <w:pStyle w:val="Heading1"/>
      </w:pPr>
      <w:r>
        <w:t xml:space="preserve">13. [Monitoring] — Monitoring-Konfiguration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Standardwert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Monitoring-Abschnitt im Formular anzeigen (false = ausblenden)</w:t>
            </w:r>
          </w:p>
        </w:tc>
      </w:tr>
      <w:tr>
        <w:tc>
          <w:tcPr>
            <w:tcW w:w="3120" w:type="dxa"/>
          </w:tcPr>
          <w:p>
            <w:r>
              <w:t xml:space="preserve">DefaultType</w:t>
            </w:r>
          </w:p>
        </w:tc>
        <w:tc>
          <w:tcPr>
            <w:tcW w:w="3120" w:type="dxa"/>
          </w:tcPr>
          <w:p>
            <w:r>
              <w:t xml:space="preserve">1</w:t>
            </w:r>
          </w:p>
        </w:tc>
        <w:tc>
          <w:tcPr>
            <w:tcW w:w="3120" w:type="dxa"/>
          </w:tcPr>
          <w:p>
            <w:r>
              <w:t xml:space="preserve">Standard-Typ: 0 = Kein Monitoring, 1 = Service Monitoring, 2 = Vollständiges Monitoring</w:t>
            </w:r>
          </w:p>
        </w:tc>
      </w:tr>
      <w:tr>
        <w:tc>
          <w:tcPr>
            <w:tcW w:w="3120" w:type="dxa"/>
          </w:tcPr>
          <w:p>
            <w:r>
              <w:t xml:space="preserve">Domain_HLB</w:t>
            </w:r>
          </w:p>
        </w:tc>
        <w:tc>
          <w:tcPr>
            <w:tcW w:w="3120" w:type="dxa"/>
          </w:tcPr>
          <w:p>
            <w:r>
              <w:t xml:space="preserve">2</w:t>
            </w:r>
          </w:p>
        </w:tc>
        <w:tc>
          <w:tcPr>
            <w:tcW w:w="3120" w:type="dxa"/>
          </w:tcPr>
          <w:p>
            <w:r>
              <w:t xml:space="preserve">Domänenspezifischer Standard-Typ für Domäne HLB</w:t>
            </w:r>
          </w:p>
        </w:tc>
      </w:tr>
      <w:tr>
        <w:tc>
          <w:tcPr>
            <w:tcW w:w="3120" w:type="dxa"/>
          </w:tcPr>
          <w:p>
            <w:r>
              <w:t xml:space="preserve">Types</w:t>
            </w:r>
          </w:p>
        </w:tc>
        <w:tc>
          <w:tcPr>
            <w:tcW w:w="3120" w:type="dxa"/>
          </w:tcPr>
          <w:p>
            <w:r>
              <w:t xml:space="preserve">Kein Monitoring,...</w:t>
            </w:r>
          </w:p>
        </w:tc>
        <w:tc>
          <w:tcPr>
            <w:tcW w:w="3120" w:type="dxa"/>
          </w:tcPr>
          <w:p>
            <w:r>
              <w:t xml:space="preserve">Anzeigenamen für Combobox (kommagetrennt, Index = Typ-Wert 0/1/2)</w:t>
            </w:r>
          </w:p>
        </w:tc>
      </w:tr>
    </w:tbl>
    <w:p/>
    <w:p>
      <w:pPr>
        <w:pStyle w:val="Heading1"/>
      </w:pPr>
      <w:r>
        <w:t xml:space="preserve">14. [OptionalComponents] — Optionale Komponenten</w:t>
      </w:r>
    </w:p>
    <w:p>
      <w:r>
        <w:t xml:space="preserve">Steuert welche Komponenten-Checkboxen im Installationsformular sichtbar sind. true = Checkbox anzeigen, false = ausblenden. Im Formular werden SSMS und SSIS standardmässig angehakt.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Schlüssel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Standard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Beschreibung</w:t>
            </w:r>
          </w:p>
        </w:tc>
      </w:tr>
      <w:tr>
        <w:tc>
          <w:tcPr>
            <w:tcW w:w="3120" w:type="dxa"/>
          </w:tcPr>
          <w:p>
            <w:r>
              <w:t xml:space="preserve">SSRS_Enabled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SQL Server Reporting Services — eigenständiger Installer (SQLServerReportingServices.exe)</w:t>
            </w:r>
          </w:p>
        </w:tc>
      </w:tr>
      <w:tr>
        <w:tc>
          <w:tcPr>
            <w:tcW w:w="3120" w:type="dxa"/>
          </w:tcPr>
          <w:p>
            <w:r>
              <w:t xml:space="preserve">SSAS_Enabled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SQL Server Analysis Services — via SQL-Setup.exe /FEATURES=AS</w:t>
            </w:r>
          </w:p>
        </w:tc>
      </w:tr>
      <w:tr>
        <w:tc>
          <w:tcPr>
            <w:tcW w:w="3120" w:type="dxa"/>
          </w:tcPr>
          <w:p>
            <w:r>
              <w:t xml:space="preserve">SSMS_Enabled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SQL Server Management Studio — eigenständiger Installer. Im Formular: Standard gecheckt.</w:t>
            </w:r>
          </w:p>
        </w:tc>
      </w:tr>
      <w:tr>
        <w:tc>
          <w:tcPr>
            <w:tcW w:w="3120" w:type="dxa"/>
          </w:tcPr>
          <w:p>
            <w:r>
              <w:t xml:space="preserve">SSIS_Enabled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Integration Services — Feature IS im SQL-Engine-Setup. Im Formular: Standard gecheckt.</w:t>
            </w:r>
          </w:p>
        </w:tc>
      </w:tr>
      <w:tr>
        <w:tc>
          <w:tcPr>
            <w:tcW w:w="3120" w:type="dxa"/>
          </w:tcPr>
          <w:p>
            <w:r>
              <w:t xml:space="preserve">TDP_Enabled</w:t>
            </w:r>
          </w:p>
        </w:tc>
        <w:tc>
          <w:tcPr>
            <w:tcW w:w="3120" w:type="dxa"/>
          </w:tcPr>
          <w:p>
            <w:r>
              <w:t xml:space="preserve">true</w:t>
            </w:r>
          </w:p>
        </w:tc>
        <w:tc>
          <w:tcPr>
            <w:tcW w:w="3120" w:type="dxa"/>
          </w:tcPr>
          <w:p>
            <w:r>
              <w:t xml:space="preserve">IBM Spectrum Protect (TSM/TDP) Client</w:t>
            </w:r>
          </w:p>
        </w:tc>
      </w:tr>
      <w:tr>
        <w:tc>
          <w:tcPr>
            <w:tcW w:w="3120" w:type="dxa"/>
          </w:tcPr>
          <w:p>
            <w:r>
              <w:t xml:space="preserve">SSRS_SourcePath</w:t>
            </w:r>
          </w:p>
        </w:tc>
        <w:tc>
          <w:tcPr>
            <w:tcW w:w="3120" w:type="dxa"/>
          </w:tcPr>
          <w:p>
            <w:r>
              <w:t xml:space="preserve">\\srv\SSRS</w:t>
            </w:r>
          </w:p>
        </w:tc>
        <w:tc>
          <w:tcPr>
            <w:tcW w:w="3120" w:type="dxa"/>
          </w:tcPr>
          <w:p>
            <w:r>
              <w:t xml:space="preserve">UNC-Pfad zum SSRS-Installer-Verzeichnis</w:t>
            </w:r>
          </w:p>
        </w:tc>
      </w:tr>
    </w:tbl>
    <w:p/>
    <w:p>
      <w:pPr>
        <w:pStyle w:val="Heading1"/>
      </w:pPr>
      <w:r>
        <w:t xml:space="preserve">15. Konfigurationsmatrix — Automatische Entscheidungslogik</w:t>
      </w:r>
    </w:p>
    <w:p>
      <w:r>
        <w:t xml:space="preserve">Das Tool trifft beim Start und während der Installation folgende automatische Entscheidungen basierend auf der erkannten Domäne und den INI-Einstellungen:</w:t>
      </w:r>
    </w:p>
    <w:tbl>
      <w:tblPr>
        <w:tblStyle w:val="TableGrid"/>
        <w:tblW w:w="9360" w:type="dxa"/>
        <w:tblLook w:val="04A0"/>
      </w:tblPr>
      <w:tblGrid>
        <w:gridCol w:w="3120"/>
        <w:gridCol w:w="3120"/>
        <w:gridCol w:w="3120"/>
      </w:tblGrid>
      <w:tr>
        <w:trPr>
          <w:trPr/>
        </w:trPr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Entscheidung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Prüflogik</w:t>
            </w:r>
          </w:p>
        </w:tc>
        <w:tc>
          <w:tcPr>
            <w:tcW w:w="3120" w:type="dxa"/>
            <w:shd w:val="clear" w:color="auto" w:fill="BDD7EE"/>
          </w:tcPr>
          <w:p>
            <w:pPr>
              <w:pStyle w:val="Normal"/>
            </w:pPr>
            <w:r>
              <w:rPr>
                <w:b/>
              </w:rPr>
              <w:t xml:space="preserve">Ergebnis</w:t>
            </w:r>
          </w:p>
        </w:tc>
      </w:tr>
      <w:tr>
        <w:tc>
          <w:tcPr>
            <w:tcW w:w="3120" w:type="dxa"/>
          </w:tcPr>
          <w:p>
            <w:r>
              <w:t xml:space="preserve">Sortierung</w:t>
            </w:r>
          </w:p>
        </w:tc>
        <w:tc>
          <w:tcPr>
            <w:tcW w:w="3120" w:type="dxa"/>
          </w:tcPr>
          <w:p>
            <w:r>
              <w:t xml:space="preserve">Domain_&lt;NAME&gt; in [Collations] vorhanden?</w:t>
            </w:r>
          </w:p>
        </w:tc>
        <w:tc>
          <w:tcPr>
            <w:tcW w:w="3120" w:type="dxa"/>
          </w:tcPr>
          <w:p>
            <w:r>
              <w:t xml:space="preserve">Ja = Domänen-Sortierung; Nein = [Collations]Standard</w:t>
            </w:r>
          </w:p>
        </w:tc>
      </w:tr>
      <w:tr>
        <w:tc>
          <w:tcPr>
            <w:tcW w:w="3120" w:type="dxa"/>
          </w:tcPr>
          <w:p>
            <w:r>
              <w:t xml:space="preserve">Laufwerke</w:t>
            </w:r>
          </w:p>
        </w:tc>
        <w:tc>
          <w:tcPr>
            <w:tcW w:w="3120" w:type="dxa"/>
          </w:tcPr>
          <w:p>
            <w:r>
              <w:t xml:space="preserve">DiskLayout_&lt;NAME&gt; Sektion vorhanden?</w:t>
            </w:r>
          </w:p>
        </w:tc>
        <w:tc>
          <w:tcPr>
            <w:tcW w:w="3120" w:type="dxa"/>
          </w:tcPr>
          <w:p>
            <w:r>
              <w:t xml:space="preserve">Ja = Domänen-Layout; Nein = DiskLayout_Standard</w:t>
            </w:r>
          </w:p>
        </w:tc>
      </w:tr>
      <w:tr>
        <w:tc>
          <w:tcPr>
            <w:tcW w:w="3120" w:type="dxa"/>
          </w:tcPr>
          <w:p>
            <w:r>
              <w:t xml:space="preserve">Monitoring-Typ</w:t>
            </w:r>
          </w:p>
        </w:tc>
        <w:tc>
          <w:tcPr>
            <w:tcW w:w="3120" w:type="dxa"/>
          </w:tcPr>
          <w:p>
            <w:r>
              <w:t xml:space="preserve">Domain_&lt;NAME&gt; in [Monitoring] vorhanden?</w:t>
            </w:r>
          </w:p>
        </w:tc>
        <w:tc>
          <w:tcPr>
            <w:tcW w:w="3120" w:type="dxa"/>
          </w:tcPr>
          <w:p>
            <w:r>
              <w:t xml:space="preserve">Ja = Domänen-Wert; Nein = DefaultType</w:t>
            </w:r>
          </w:p>
        </w:tc>
      </w:tr>
      <w:tr>
        <w:tc>
          <w:tcPr>
            <w:tcW w:w="3120" w:type="dxa"/>
          </w:tcPr>
          <w:p>
            <w:r>
              <w:t xml:space="preserve">Sysadmin-Gruppen</w:t>
            </w:r>
          </w:p>
        </w:tc>
        <w:tc>
          <w:tcPr>
            <w:tcW w:w="3120" w:type="dxa"/>
          </w:tcPr>
          <w:p>
            <w:r>
              <w:t xml:space="preserve">Domain_&lt;NAME&gt; in [SysadminGroups] vorhanden?</w:t>
            </w:r>
          </w:p>
        </w:tc>
        <w:tc>
          <w:tcPr>
            <w:tcW w:w="3120" w:type="dxa"/>
          </w:tcPr>
          <w:p>
            <w:r>
              <w:t xml:space="preserve">Ja = Domänen-Gruppe; Nein = Standard</w:t>
            </w:r>
          </w:p>
        </w:tc>
      </w:tr>
      <w:tr>
        <w:tc>
          <w:tcPr>
            <w:tcW w:w="3120" w:type="dxa"/>
          </w:tcPr>
          <w:p>
            <w:r>
              <w:t xml:space="preserve">SA-Obfuscation</w:t>
            </w:r>
          </w:p>
        </w:tc>
        <w:tc>
          <w:tcPr>
            <w:tcW w:w="3120" w:type="dxa"/>
          </w:tcPr>
          <w:p>
            <w:r>
              <w:t xml:space="preserve">Schritt 7 (Gruppen) erfolgreich?</w:t>
            </w:r>
          </w:p>
        </w:tc>
        <w:tc>
          <w:tcPr>
            <w:tcW w:w="3120" w:type="dxa"/>
          </w:tcPr>
          <w:p>
            <w:r>
              <w:t xml:space="preserve">Ja = SA-Obfuscation durchführen; Nein = überspringen</w:t>
            </w:r>
          </w:p>
        </w:tc>
      </w:tr>
      <w:tr>
        <w:tc>
          <w:tcPr>
            <w:tcW w:w="3120" w:type="dxa"/>
          </w:tcPr>
          <w:p>
            <w:r>
              <w:t xml:space="preserve">SSIS installieren</w:t>
            </w:r>
          </w:p>
        </w:tc>
        <w:tc>
          <w:tcPr>
            <w:tcW w:w="3120" w:type="dxa"/>
          </w:tcPr>
          <w:p>
            <w:r>
              <w:t xml:space="preserve">SSIS-Checkbox im Formular gecheckt?</w:t>
            </w:r>
          </w:p>
        </w:tc>
        <w:tc>
          <w:tcPr>
            <w:tcW w:w="3120" w:type="dxa"/>
          </w:tcPr>
          <w:p>
            <w:r>
              <w:t xml:space="preserve">Ja = IS in Features; Nein = IS wird entfernt</w:t>
            </w:r>
          </w:p>
        </w:tc>
      </w:tr>
      <w:tr>
        <w:tc>
          <w:tcPr>
            <w:tcW w:w="3120" w:type="dxa"/>
          </w:tcPr>
          <w:p>
            <w:r>
              <w:t xml:space="preserve">Splunk-Config</w:t>
            </w:r>
          </w:p>
        </w:tc>
        <w:tc>
          <w:tcPr>
            <w:tcW w:w="3120" w:type="dxa"/>
          </w:tcPr>
          <w:p>
            <w:r>
              <w:t xml:space="preserve">[PostInstall] SplunkEnabled = true?</w:t>
            </w:r>
          </w:p>
        </w:tc>
        <w:tc>
          <w:tcPr>
            <w:tcW w:w="3120" w:type="dxa"/>
          </w:tcPr>
          <w:p>
            <w:r>
              <w:t xml:space="preserve">Ja = Invoke-sqmSplunkConfiguration; Nein = überspringen</w:t>
            </w:r>
          </w:p>
        </w:tc>
      </w:tr>
    </w:tbl>
    <w:p/>
    <w:sectPr>
      <w:pgSz w:w="11906" w:h="16838"/>
      <w:pgMar w:top="1134" w:right="850" w:bottom="1134" w:left="1701" w:header="709" w:footer="709" w:gutter="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de-DE"/>
      </w:rPr>
    </w:rPrDefault>
  </w:docDefaults>
  <w:style w:type="paragraph" w:styleId="Normal">
    <w:name w:val="Normal"/>
    <w:rPr>
      <w:rFonts w:ascii="Calibri" w:hAnsi="Calibri"/>
      <w:sz w:val="22"/>
    </w:rPr>
  </w:style>
  <w:style w:type="paragraph" w:styleId="Heading1">
    <w:name w:val="heading 1"/>
    <w:pPr>
      <w:numPr>
        <w:ilvl w:val="0"/>
      </w:numPr>
      <w:spacing w:before="240" w:after="60"/>
      <w:outlineLvl w:val="0"/>
    </w:pPr>
    <w:rPr>
      <w:rFonts w:ascii="Calibri Light" w:hAnsi="Calibri Light"/>
      <w:color w:val="2E74B5"/>
      <w:sz w:val="32"/>
      <w:b/>
    </w:rPr>
  </w:style>
  <w:style w:type="paragraph" w:styleId="Heading2">
    <w:name w:val="heading 2"/>
    <w:pPr>
      <w:spacing w:before="200" w:after="40"/>
      <w:outlineLvl w:val="1"/>
    </w:pPr>
    <w:rPr>
      <w:rFonts w:ascii="Calibri Light" w:hAnsi="Calibri Light"/>
      <w:color w:val="2E74B5"/>
      <w:sz w:val="26"/>
      <w:b/>
    </w:rPr>
  </w:style>
  <w:style w:type="paragraph" w:styleId="Heading3">
    <w:name w:val="heading 3"/>
    <w:pPr>
      <w:spacing w:before="160" w:after="40"/>
      <w:outlineLvl w:val="2"/>
    </w:pPr>
    <w:rPr>
      <w:rFonts w:ascii="Calibri Light" w:hAnsi="Calibri Light"/>
      <w:color w:val="1F4E79"/>
      <w:sz w:val="24"/>
      <w:b/>
    </w:rPr>
  </w:style>
  <w:style w:type="paragraph" w:styleId="Title">
    <w:name w:val="Title"/>
    <w:pPr>
      <w:spacing w:before="0" w:after="80"/>
      <w:jc w:val="left"/>
    </w:pPr>
    <w:rPr>
      <w:rFonts w:ascii="Calibri Light" w:hAnsi="Calibri Light"/>
      <w:color w:val="2E74B5"/>
      <w:sz w:val="52"/>
      <w:b/>
    </w:rPr>
  </w:style>
  <w:style w:type="paragraph" w:styleId="Subtitle">
    <w:name w:val="Subtitle"/>
    <w:pPr>
      <w:spacing w:before="0" w:after="80"/>
    </w:pPr>
    <w:rPr>
      <w:rFonts w:ascii="Calibri Light" w:hAnsi="Calibri Light"/>
      <w:color w:val="595959"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Calibri" w:hAnsi="Calibri"/>
      <w:sz w:val="20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 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dtcSoftware SQLSetupTool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SQL Server Setup Tool — Konfigurationsreferenz</dc:title>
  <dc:creator>Uwe Janke — dtcSoftware</dc:creator>
  <dcterms:created xmlns:xsi="http://www.w3.org/2001/XMLSchema-instance" xsi:type="dcterms:W3CDTF">2026-05-12T23:27:01Z</dcterms:created>
</cp:coreProperties>
</file>