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0B4F6C"/>
          <w:sz w:val="36"/>
          <w:szCs w:val="36"/>
        </w:rPr>
        <w:t xml:space="preserve">SEHATSURE PLATFORM</w:t>
      </w:r>
    </w:p>
    <w:p>
      <w:pPr>
        <w:spacing w:after="100" w:before="50"/>
        <w:jc w:val="center"/>
      </w:pPr>
      <w:r>
        <w:rPr>
          <w:rFonts w:ascii="Arial" w:cs="Arial" w:eastAsia="Arial" w:hAnsi="Arial"/>
          <w:b/>
          <w:bCs/>
          <w:color w:val="00B894"/>
          <w:sz w:val="24"/>
          <w:szCs w:val="24"/>
        </w:rPr>
        <w:t xml:space="preserve">Calculation Methodology, Model Validation &amp; Deterministic Accounting Defense</w:t>
      </w:r>
    </w:p>
    <w:p>
      <w:pPr>
        <w:spacing w:after="300" w:before="50"/>
        <w:jc w:val="center"/>
      </w:pPr>
      <w:r>
        <w:rPr>
          <w:rFonts w:ascii="Arial" w:cs="Arial" w:eastAsia="Arial" w:hAnsi="Arial"/>
          <w:color w:val="64748B"/>
          <w:sz w:val="18"/>
          <w:szCs w:val="18"/>
        </w:rPr>
        <w:t xml:space="preserve">Authoritative Architecture Document — Post Phase 4B &amp; Long-Policy Benchmarks
Generated: October 2026 | Technical Version: 4B.2</w:t>
      </w:r>
    </w:p>
    <w:p>
      <w:pPr>
        <w:pStyle w:val="Heading1"/>
        <w:spacing w:after="150" w:before="400"/>
      </w:pPr>
      <w:r>
        <w:rPr>
          <w:rFonts w:ascii="Arial" w:cs="Arial" w:eastAsia="Arial" w:hAnsi="Arial"/>
          <w:b/>
          <w:bCs/>
          <w:color w:val="0B4F6C"/>
          <w:sz w:val="28"/>
          <w:szCs w:val="28"/>
        </w:rPr>
        <w:t xml:space="preserve">SECTION A — SYSTEM OVERVIEW &amp; ARCHITECTURAL FOUNDATIONS</w:t>
      </w:r>
    </w:p>
    <w:p>
      <w:pPr>
        <w:spacing w:after="100" w:before="80"/>
      </w:pPr>
      <w:r>
        <w:rPr>
          <w:rFonts w:ascii="Arial" w:cs="Arial" w:eastAsia="Arial" w:hAnsi="Arial"/>
          <w:color w:val="334155"/>
          <w:sz w:val="20"/>
          <w:szCs w:val="20"/>
        </w:rPr>
        <w:t xml:space="preserve">SehatSure is an evidence-backed healthcare navigation, health insurance policy intelligence, and deterministic claim adjudication platform. The architecture enforces a strict separation of concerns across six distinct operational layers:</w:t>
      </w:r>
    </w:p>
    <w:p>
      <w:pPr>
        <w:pBdr>
          <w:left w:val="single" w:color="00B894" w:sz="24" w:space="10"/>
        </w:pBdr>
        <w:spacing w:after="100" w:before="80"/>
      </w:pPr>
      <w:r>
        <w:rPr>
          <w:rFonts w:ascii="Arial" w:cs="Arial" w:eastAsia="Arial" w:hAnsi="Arial"/>
          <w:color w:val="0F172A"/>
          <w:sz w:val="20"/>
          <w:szCs w:val="20"/>
        </w:rPr>
        <w:t xml:space="preserve">1. Policy Extraction Pipeline: Ingests unstructured policy documents (multi-page PDF contracts, endorsements, schedules) and extracts structured financial limits, waiting periods, and clause terms with exact page-level provenance. No financial calculations are performed by LLMs directly.</w:t>
      </w:r>
    </w:p>
    <w:p>
      <w:pPr>
        <w:spacing w:after="100" w:before="80"/>
      </w:pPr>
      <w:r>
        <w:rPr>
          <w:rFonts w:ascii="Arial" w:cs="Arial" w:eastAsia="Arial" w:hAnsi="Arial"/>
          <w:color w:val="334155"/>
          <w:sz w:val="20"/>
          <w:szCs w:val="20"/>
        </w:rPr>
        <w:t xml:space="preserve">2. Evidence Retrieval &amp; Grounding Engine: Cross-references extracted facts against exact page numbers and verbatim excerpts, maintaining cryptographic SHA-256 document hashes to prevent hallucinated terms.</w:t>
      </w:r>
    </w:p>
    <w:p>
      <w:pPr>
        <w:spacing w:after="100" w:before="80"/>
      </w:pPr>
      <w:r>
        <w:rPr>
          <w:rFonts w:ascii="Arial" w:cs="Arial" w:eastAsia="Arial" w:hAnsi="Arial"/>
          <w:color w:val="334155"/>
          <w:sz w:val="20"/>
          <w:szCs w:val="20"/>
        </w:rPr>
        <w:t xml:space="preserve">3. Hospital Treatment-Cost Estimation: Predicts procedure tariff ranges using verified empirical private healthcare datasets (184 validated observations) and statutory government package rates (CGHS/Ayushman Bharat benchmarks). Refuses to predict for unindexed procedures rather than fabricating figures.</w:t>
      </w:r>
    </w:p>
    <w:p>
      <w:pPr>
        <w:spacing w:after="100" w:before="80"/>
      </w:pPr>
      <w:r>
        <w:rPr>
          <w:rFonts w:ascii="Arial" w:cs="Arial" w:eastAsia="Arial" w:hAnsi="Arial"/>
          <w:color w:val="334155"/>
          <w:sz w:val="20"/>
          <w:szCs w:val="20"/>
        </w:rPr>
        <w:t xml:space="preserve">4. Multi-Attribute Hospital Ranking &amp; Policy Fit Scoring: Combines verified insurer network empanelment (hard gating requirement), coverage limit headroom, patient out-of-pocket exposure, and hospital infrastructure metrics into transparent decision-support scores.</w:t>
      </w:r>
    </w:p>
    <w:p>
      <w:pPr>
        <w:spacing w:after="100" w:before="80"/>
      </w:pPr>
      <w:r>
        <w:rPr>
          <w:rFonts w:ascii="Arial" w:cs="Arial" w:eastAsia="Arial" w:hAnsi="Arial"/>
          <w:color w:val="334155"/>
          <w:sz w:val="20"/>
          <w:szCs w:val="20"/>
        </w:rPr>
        <w:t xml:space="preserve">5. Deterministic Claim Adjudication Engine: Implements strict multi-stage itemized deduction logic adhering to IRDAI guidelines, statutory non-payable lists, contractual proportionate deductions, and procedure sublimits. Enforces the zero-discrepancy accounting invariant.</w:t>
      </w:r>
    </w:p>
    <w:p>
      <w:pPr>
        <w:spacing w:after="100" w:before="80"/>
      </w:pPr>
      <w:r>
        <w:rPr>
          <w:rFonts w:ascii="Arial" w:cs="Arial" w:eastAsia="Arial" w:hAnsi="Arial"/>
          <w:color w:val="334155"/>
          <w:sz w:val="20"/>
          <w:szCs w:val="20"/>
        </w:rPr>
        <w:t xml:space="preserve">6. Presentation &amp; Voice Interaction Layer: Delivers scannable UI cards with prominent numbers, expandable calculation traces, durable document retrieval, and Web Speech API voice synthesis without raw markdown clutter.</w:t>
      </w:r>
    </w:p>
    <w:p>
      <w:pPr>
        <w:pStyle w:val="Heading1"/>
        <w:spacing w:after="150" w:before="400"/>
      </w:pPr>
      <w:r>
        <w:rPr>
          <w:rFonts w:ascii="Arial" w:cs="Arial" w:eastAsia="Arial" w:hAnsi="Arial"/>
          <w:b/>
          <w:bCs/>
          <w:color w:val="0B4F6C"/>
          <w:sz w:val="28"/>
          <w:szCs w:val="28"/>
        </w:rPr>
        <w:t xml:space="preserve">SECTION B — POLICY EXTRACTION &amp; CLAUSE SEGMENTATION PIPELINE</w:t>
      </w:r>
    </w:p>
    <w:p>
      <w:pPr>
        <w:spacing w:after="100" w:before="80"/>
      </w:pPr>
      <w:r>
        <w:rPr>
          <w:rFonts w:ascii="Arial" w:cs="Arial" w:eastAsia="Arial" w:hAnsi="Arial"/>
          <w:color w:val="334155"/>
          <w:sz w:val="20"/>
          <w:szCs w:val="20"/>
        </w:rPr>
        <w:t xml:space="preserve">The policy extraction pipeline is engineered to process realistic, long-form health insurance contracts of 40–50 pages without token context truncation or hallucination.</w:t>
      </w:r>
    </w:p>
    <w:p>
      <w:pPr>
        <w:pStyle w:val="Heading2"/>
        <w:spacing w:after="100" w:before="240"/>
      </w:pPr>
      <w:r>
        <w:rPr>
          <w:rFonts w:ascii="Arial" w:cs="Arial" w:eastAsia="Arial" w:hAnsi="Arial"/>
          <w:b/>
          <w:bCs/>
          <w:color w:val="083C53"/>
          <w:sz w:val="23"/>
          <w:szCs w:val="23"/>
        </w:rPr>
        <w:t xml:space="preserve">B.1 Document Ingestion and Segmentation Strategy</w:t>
      </w:r>
    </w:p>
    <w:p>
      <w:pPr>
        <w:spacing w:after="100" w:before="80"/>
      </w:pPr>
      <w:r>
        <w:rPr>
          <w:rFonts w:ascii="Arial" w:cs="Arial" w:eastAsia="Arial" w:hAnsi="Arial"/>
          <w:color w:val="334155"/>
          <w:sz w:val="20"/>
          <w:szCs w:val="20"/>
        </w:rPr>
        <w:t xml:space="preserve">The system utilizes pdf-parse to extract raw page text buffers while preserving physical page boundaries. Documents are structured using regex-anchored section boundary detection across 13 standardized policy segments: Policy Schedule, Definitions, Inpatient Hospitalization, Room Rent &amp; ICU, Day Care, Exclusions, Deductibles &amp; Co-Pay, Sub-Limits, Waiting Periods, Cashless Network Rules, Cumulative Bonus, Claims Procedure, and Endorsements.</w:t>
      </w:r>
    </w:p>
    <w:p>
      <w:pPr>
        <w:pStyle w:val="Heading2"/>
        <w:spacing w:after="100" w:before="240"/>
      </w:pPr>
      <w:r>
        <w:rPr>
          <w:rFonts w:ascii="Arial" w:cs="Arial" w:eastAsia="Arial" w:hAnsi="Arial"/>
          <w:b/>
          <w:bCs/>
          <w:color w:val="083C53"/>
          <w:sz w:val="23"/>
          <w:szCs w:val="23"/>
        </w:rPr>
        <w:t xml:space="preserve">B.2 Synthetic 45-Page Comprehensive Health Policy Benchmark</w:t>
      </w:r>
    </w:p>
    <w:p>
      <w:pPr>
        <w:spacing w:after="100" w:before="80"/>
      </w:pPr>
      <w:r>
        <w:rPr>
          <w:rFonts w:ascii="Arial" w:cs="Arial" w:eastAsia="Arial" w:hAnsi="Arial"/>
          <w:color w:val="334155"/>
          <w:sz w:val="20"/>
          <w:szCs w:val="20"/>
        </w:rPr>
        <w:t xml:space="preserve">To validate long-policy extraction accuracy deterministically, a realistic 45-page synthetic policy fixture was authored: server/tests/fixtures/policies/synthetic_comprehensive_health_policy_45_pages.pdf. The document contains 46,111 characters of realistic policy terms across 45 individual pages, accompanied by a ground-truth manifest (synthetic_policy_ground_truth_manifest.json).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1805"/>
        <w:gridCol w:w="2257"/>
      </w:tblGrid>
      <w:tr>
        <w:tc>
          <w:tcPr>
            <w:tcW w:type="pct" w:w="1500"/>
            <w:shd w:fill="0B4F6C" w:val="clear"/>
          </w:tcPr>
          <w:p>
            <w:pPr>
              <w:jc w:val="center"/>
            </w:pPr>
            <w:r>
              <w:rPr>
                <w:rFonts w:ascii="Arial" w:cs="Arial" w:eastAsia="Arial" w:hAnsi="Arial"/>
                <w:b/>
                <w:bCs/>
                <w:color w:val="FFFFFF"/>
                <w:sz w:val="20"/>
                <w:szCs w:val="20"/>
              </w:rPr>
              <w:t xml:space="preserve">Policy Term / Clause</w:t>
            </w:r>
          </w:p>
        </w:tc>
        <w:tc>
          <w:tcPr>
            <w:tcW w:type="pct" w:w="1250"/>
            <w:shd w:fill="0B4F6C" w:val="clear"/>
          </w:tcPr>
          <w:p>
            <w:pPr>
              <w:jc w:val="center"/>
            </w:pPr>
            <w:r>
              <w:rPr>
                <w:rFonts w:ascii="Arial" w:cs="Arial" w:eastAsia="Arial" w:hAnsi="Arial"/>
                <w:b/>
                <w:bCs/>
                <w:color w:val="FFFFFF"/>
                <w:sz w:val="20"/>
                <w:szCs w:val="20"/>
              </w:rPr>
              <w:t xml:space="preserve">Ground Truth Value</w:t>
            </w:r>
          </w:p>
        </w:tc>
        <w:tc>
          <w:tcPr>
            <w:tcW w:type="pct" w:w="1000"/>
            <w:shd w:fill="0B4F6C" w:val="clear"/>
          </w:tcPr>
          <w:p>
            <w:pPr>
              <w:jc w:val="center"/>
            </w:pPr>
            <w:r>
              <w:rPr>
                <w:rFonts w:ascii="Arial" w:cs="Arial" w:eastAsia="Arial" w:hAnsi="Arial"/>
                <w:b/>
                <w:bCs/>
                <w:color w:val="FFFFFF"/>
                <w:sz w:val="20"/>
                <w:szCs w:val="20"/>
              </w:rPr>
              <w:t xml:space="preserve">Page Citation</w:t>
            </w:r>
          </w:p>
        </w:tc>
        <w:tc>
          <w:tcPr>
            <w:tcW w:type="pct" w:w="1250"/>
            <w:shd w:fill="0B4F6C" w:val="clear"/>
          </w:tcPr>
          <w:p>
            <w:pPr>
              <w:jc w:val="center"/>
            </w:pPr>
            <w:r>
              <w:rPr>
                <w:rFonts w:ascii="Arial" w:cs="Arial" w:eastAsia="Arial" w:hAnsi="Arial"/>
                <w:b/>
                <w:bCs/>
                <w:color w:val="FFFFFF"/>
                <w:sz w:val="20"/>
                <w:szCs w:val="20"/>
              </w:rPr>
              <w:t xml:space="preserve">Extraction Accuracy</w:t>
            </w:r>
          </w:p>
        </w:tc>
      </w:tr>
      <w:tr>
        <w:tc>
          <w:tcPr>
            <w:tcW w:type="pct" w:w="1500"/>
            <w:shd w:fill="F8FAFC" w:val="clear"/>
          </w:tcPr>
          <w:p>
            <w:r>
              <w:rPr>
                <w:rFonts w:ascii="Arial" w:cs="Arial" w:eastAsia="Arial" w:hAnsi="Arial"/>
                <w:b/>
                <w:bCs/>
                <w:color w:val="1E293B"/>
                <w:sz w:val="19"/>
                <w:szCs w:val="19"/>
              </w:rPr>
              <w:t xml:space="preserve">Sum Insured (Family Floater)</w:t>
            </w:r>
          </w:p>
        </w:tc>
        <w:tc>
          <w:tcPr>
            <w:tcW w:type="pct" w:w="1250"/>
            <w:shd w:fill="F8FAFC" w:val="clear"/>
          </w:tcPr>
          <w:p>
            <w:r>
              <w:rPr>
                <w:rFonts w:ascii="Consolas" w:cs="Consolas" w:eastAsia="Consolas" w:hAnsi="Consolas"/>
                <w:b w:val="false"/>
                <w:bCs w:val="false"/>
                <w:color w:val="1E293B"/>
                <w:sz w:val="19"/>
                <w:szCs w:val="19"/>
              </w:rPr>
              <w:t xml:space="preserve">₹10,00,000 (10 Lakhs)</w:t>
            </w:r>
          </w:p>
        </w:tc>
        <w:tc>
          <w:tcPr>
            <w:tcW w:type="pct" w:w="1000"/>
            <w:shd w:fill="F8FAFC" w:val="clear"/>
          </w:tcPr>
          <w:p>
            <w:r>
              <w:rPr>
                <w:rFonts w:ascii="Arial" w:cs="Arial" w:eastAsia="Arial" w:hAnsi="Arial"/>
                <w:b w:val="false"/>
                <w:bCs w:val="false"/>
                <w:color w:val="1E293B"/>
                <w:sz w:val="19"/>
                <w:szCs w:val="19"/>
              </w:rPr>
              <w:t xml:space="preserve">Page 2 (Clause S.3)</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Room Rent Daily Limit</w:t>
            </w:r>
          </w:p>
        </w:tc>
        <w:tc>
          <w:tcPr>
            <w:tcW w:type="pct" w:w="1250"/>
            <w:shd w:fill="F8FAFC" w:val="clear"/>
          </w:tcPr>
          <w:p>
            <w:r>
              <w:rPr>
                <w:rFonts w:ascii="Consolas" w:cs="Consolas" w:eastAsia="Consolas" w:hAnsi="Consolas"/>
                <w:b w:val="false"/>
                <w:bCs w:val="false"/>
                <w:color w:val="1E293B"/>
                <w:sz w:val="19"/>
                <w:szCs w:val="19"/>
              </w:rPr>
              <w:t xml:space="preserve">₹10,000 / day (1% SI capped)</w:t>
            </w:r>
          </w:p>
        </w:tc>
        <w:tc>
          <w:tcPr>
            <w:tcW w:type="pct" w:w="1000"/>
            <w:shd w:fill="F8FAFC" w:val="clear"/>
          </w:tcPr>
          <w:p>
            <w:r>
              <w:rPr>
                <w:rFonts w:ascii="Arial" w:cs="Arial" w:eastAsia="Arial" w:hAnsi="Arial"/>
                <w:b w:val="false"/>
                <w:bCs w:val="false"/>
                <w:color w:val="1E293B"/>
                <w:sz w:val="19"/>
                <w:szCs w:val="19"/>
              </w:rPr>
              <w:t xml:space="preserve">Page 7 (Clause 2.1)</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ICU Charges Daily Limit</w:t>
            </w:r>
          </w:p>
        </w:tc>
        <w:tc>
          <w:tcPr>
            <w:tcW w:type="pct" w:w="1250"/>
            <w:shd w:fill="F8FAFC" w:val="clear"/>
          </w:tcPr>
          <w:p>
            <w:r>
              <w:rPr>
                <w:rFonts w:ascii="Consolas" w:cs="Consolas" w:eastAsia="Consolas" w:hAnsi="Consolas"/>
                <w:b w:val="false"/>
                <w:bCs w:val="false"/>
                <w:color w:val="1E293B"/>
                <w:sz w:val="19"/>
                <w:szCs w:val="19"/>
              </w:rPr>
              <w:t xml:space="preserve">₹20,000 / day (2% SI capped)</w:t>
            </w:r>
          </w:p>
        </w:tc>
        <w:tc>
          <w:tcPr>
            <w:tcW w:type="pct" w:w="1000"/>
            <w:shd w:fill="F8FAFC" w:val="clear"/>
          </w:tcPr>
          <w:p>
            <w:r>
              <w:rPr>
                <w:rFonts w:ascii="Arial" w:cs="Arial" w:eastAsia="Arial" w:hAnsi="Arial"/>
                <w:b w:val="false"/>
                <w:bCs w:val="false"/>
                <w:color w:val="1E293B"/>
                <w:sz w:val="19"/>
                <w:szCs w:val="19"/>
              </w:rPr>
              <w:t xml:space="preserve">Page 8 (Clause 2.2)</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Proportionate Deduction</w:t>
            </w:r>
          </w:p>
        </w:tc>
        <w:tc>
          <w:tcPr>
            <w:tcW w:type="pct" w:w="1250"/>
            <w:shd w:fill="F8FAFC" w:val="clear"/>
          </w:tcPr>
          <w:p>
            <w:r>
              <w:rPr>
                <w:rFonts w:ascii="Consolas" w:cs="Consolas" w:eastAsia="Consolas" w:hAnsi="Consolas"/>
                <w:b w:val="false"/>
                <w:bCs w:val="false"/>
                <w:color w:val="1E293B"/>
                <w:sz w:val="19"/>
                <w:szCs w:val="19"/>
              </w:rPr>
              <w:t xml:space="preserve">Active (Exempt for ICU/Pharm)</w:t>
            </w:r>
          </w:p>
        </w:tc>
        <w:tc>
          <w:tcPr>
            <w:tcW w:type="pct" w:w="1000"/>
            <w:shd w:fill="F8FAFC" w:val="clear"/>
          </w:tcPr>
          <w:p>
            <w:r>
              <w:rPr>
                <w:rFonts w:ascii="Arial" w:cs="Arial" w:eastAsia="Arial" w:hAnsi="Arial"/>
                <w:b w:val="false"/>
                <w:bCs w:val="false"/>
                <w:color w:val="1E293B"/>
                <w:sz w:val="19"/>
                <w:szCs w:val="19"/>
              </w:rPr>
              <w:t xml:space="preserve">Page 9 (Clause 2.3)</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Cataract Procedure Sublimit</w:t>
            </w:r>
          </w:p>
        </w:tc>
        <w:tc>
          <w:tcPr>
            <w:tcW w:type="pct" w:w="1250"/>
            <w:shd w:fill="F8FAFC" w:val="clear"/>
          </w:tcPr>
          <w:p>
            <w:r>
              <w:rPr>
                <w:rFonts w:ascii="Consolas" w:cs="Consolas" w:eastAsia="Consolas" w:hAnsi="Consolas"/>
                <w:b w:val="false"/>
                <w:bCs w:val="false"/>
                <w:color w:val="1E293B"/>
                <w:sz w:val="19"/>
                <w:szCs w:val="19"/>
              </w:rPr>
              <w:t xml:space="preserve">₹45,000 per eye (Base)</w:t>
            </w:r>
          </w:p>
        </w:tc>
        <w:tc>
          <w:tcPr>
            <w:tcW w:type="pct" w:w="1000"/>
            <w:shd w:fill="F8FAFC" w:val="clear"/>
          </w:tcPr>
          <w:p>
            <w:r>
              <w:rPr>
                <w:rFonts w:ascii="Arial" w:cs="Arial" w:eastAsia="Arial" w:hAnsi="Arial"/>
                <w:b w:val="false"/>
                <w:bCs w:val="false"/>
                <w:color w:val="1E293B"/>
                <w:sz w:val="19"/>
                <w:szCs w:val="19"/>
              </w:rPr>
              <w:t xml:space="preserve">Page 19 (Clause 5.1)</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Hernia Repair Sublimit</w:t>
            </w:r>
          </w:p>
        </w:tc>
        <w:tc>
          <w:tcPr>
            <w:tcW w:type="pct" w:w="1250"/>
            <w:shd w:fill="F8FAFC" w:val="clear"/>
          </w:tcPr>
          <w:p>
            <w:r>
              <w:rPr>
                <w:rFonts w:ascii="Consolas" w:cs="Consolas" w:eastAsia="Consolas" w:hAnsi="Consolas"/>
                <w:b w:val="false"/>
                <w:bCs w:val="false"/>
                <w:color w:val="1E293B"/>
                <w:sz w:val="19"/>
                <w:szCs w:val="19"/>
              </w:rPr>
              <w:t xml:space="preserve">₹85,000 per hospitalization</w:t>
            </w:r>
          </w:p>
        </w:tc>
        <w:tc>
          <w:tcPr>
            <w:tcW w:type="pct" w:w="1000"/>
            <w:shd w:fill="F8FAFC" w:val="clear"/>
          </w:tcPr>
          <w:p>
            <w:r>
              <w:rPr>
                <w:rFonts w:ascii="Arial" w:cs="Arial" w:eastAsia="Arial" w:hAnsi="Arial"/>
                <w:b w:val="false"/>
                <w:bCs w:val="false"/>
                <w:color w:val="1E293B"/>
                <w:sz w:val="19"/>
                <w:szCs w:val="19"/>
              </w:rPr>
              <w:t xml:space="preserve">Page 20 (Clause 5.3)</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Non-Network Co-Payment</w:t>
            </w:r>
          </w:p>
        </w:tc>
        <w:tc>
          <w:tcPr>
            <w:tcW w:type="pct" w:w="1250"/>
            <w:shd w:fill="F8FAFC" w:val="clear"/>
          </w:tcPr>
          <w:p>
            <w:r>
              <w:rPr>
                <w:rFonts w:ascii="Consolas" w:cs="Consolas" w:eastAsia="Consolas" w:hAnsi="Consolas"/>
                <w:b w:val="false"/>
                <w:bCs w:val="false"/>
                <w:color w:val="1E293B"/>
                <w:sz w:val="19"/>
                <w:szCs w:val="19"/>
              </w:rPr>
              <w:t xml:space="preserve">20% co-pay on admissible</w:t>
            </w:r>
          </w:p>
        </w:tc>
        <w:tc>
          <w:tcPr>
            <w:tcW w:type="pct" w:w="1000"/>
            <w:shd w:fill="F8FAFC" w:val="clear"/>
          </w:tcPr>
          <w:p>
            <w:r>
              <w:rPr>
                <w:rFonts w:ascii="Arial" w:cs="Arial" w:eastAsia="Arial" w:hAnsi="Arial"/>
                <w:b w:val="false"/>
                <w:bCs w:val="false"/>
                <w:color w:val="1E293B"/>
                <w:sz w:val="19"/>
                <w:szCs w:val="19"/>
              </w:rPr>
              <w:t xml:space="preserve">Page 39 (Clause 10.2)</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Endorsement Cataract Boost</w:t>
            </w:r>
          </w:p>
        </w:tc>
        <w:tc>
          <w:tcPr>
            <w:tcW w:type="pct" w:w="1250"/>
            <w:shd w:fill="F8FAFC" w:val="clear"/>
          </w:tcPr>
          <w:p>
            <w:r>
              <w:rPr>
                <w:rFonts w:ascii="Consolas" w:cs="Consolas" w:eastAsia="Consolas" w:hAnsi="Consolas"/>
                <w:b w:val="false"/>
                <w:bCs w:val="false"/>
                <w:color w:val="1E293B"/>
                <w:sz w:val="19"/>
                <w:szCs w:val="19"/>
              </w:rPr>
              <w:t xml:space="preserve">Enhanced to ₹60,000 / eye</w:t>
            </w:r>
          </w:p>
        </w:tc>
        <w:tc>
          <w:tcPr>
            <w:tcW w:type="pct" w:w="1000"/>
            <w:shd w:fill="F8FAFC" w:val="clear"/>
          </w:tcPr>
          <w:p>
            <w:r>
              <w:rPr>
                <w:rFonts w:ascii="Arial" w:cs="Arial" w:eastAsia="Arial" w:hAnsi="Arial"/>
                <w:b w:val="false"/>
                <w:bCs w:val="false"/>
                <w:color w:val="1E293B"/>
                <w:sz w:val="19"/>
                <w:szCs w:val="19"/>
              </w:rPr>
              <w:t xml:space="preserve">Page 43 (Clause E.1)</w:t>
            </w:r>
          </w:p>
        </w:tc>
        <w:tc>
          <w:tcPr>
            <w:tcW w:type="pct" w:w="1250"/>
            <w:shd w:fill="F8FAFC" w:val="clear"/>
          </w:tcPr>
          <w:p>
            <w:r>
              <w:rPr>
                <w:rFonts w:ascii="Arial" w:cs="Arial" w:eastAsia="Arial" w:hAnsi="Arial"/>
                <w:b/>
                <w:bCs/>
                <w:color w:val="1E293B"/>
                <w:sz w:val="19"/>
                <w:szCs w:val="19"/>
              </w:rPr>
              <w:t xml:space="preserve">100% Exact Match</w:t>
            </w:r>
          </w:p>
        </w:tc>
      </w:tr>
      <w:tr>
        <w:tc>
          <w:tcPr>
            <w:tcW w:type="pct" w:w="1500"/>
            <w:shd w:fill="F8FAFC" w:val="clear"/>
          </w:tcPr>
          <w:p>
            <w:r>
              <w:rPr>
                <w:rFonts w:ascii="Arial" w:cs="Arial" w:eastAsia="Arial" w:hAnsi="Arial"/>
                <w:b/>
                <w:bCs/>
                <w:color w:val="1E293B"/>
                <w:sz w:val="19"/>
                <w:szCs w:val="19"/>
              </w:rPr>
              <w:t xml:space="preserve">Emergency Cardiac Copay Waiver</w:t>
            </w:r>
          </w:p>
        </w:tc>
        <w:tc>
          <w:tcPr>
            <w:tcW w:type="pct" w:w="1250"/>
            <w:shd w:fill="F8FAFC" w:val="clear"/>
          </w:tcPr>
          <w:p>
            <w:r>
              <w:rPr>
                <w:rFonts w:ascii="Consolas" w:cs="Consolas" w:eastAsia="Consolas" w:hAnsi="Consolas"/>
                <w:b w:val="false"/>
                <w:bCs w:val="false"/>
                <w:color w:val="1E293B"/>
                <w:sz w:val="19"/>
                <w:szCs w:val="19"/>
              </w:rPr>
              <w:t xml:space="preserve">Waived to 0% from Oct 1</w:t>
            </w:r>
          </w:p>
        </w:tc>
        <w:tc>
          <w:tcPr>
            <w:tcW w:type="pct" w:w="1000"/>
            <w:shd w:fill="F8FAFC" w:val="clear"/>
          </w:tcPr>
          <w:p>
            <w:r>
              <w:rPr>
                <w:rFonts w:ascii="Arial" w:cs="Arial" w:eastAsia="Arial" w:hAnsi="Arial"/>
                <w:b w:val="false"/>
                <w:bCs w:val="false"/>
                <w:color w:val="1E293B"/>
                <w:sz w:val="19"/>
                <w:szCs w:val="19"/>
              </w:rPr>
              <w:t xml:space="preserve">Page 44 (Clause E.2)</w:t>
            </w:r>
          </w:p>
        </w:tc>
        <w:tc>
          <w:tcPr>
            <w:tcW w:type="pct" w:w="1250"/>
            <w:shd w:fill="F8FAFC" w:val="clear"/>
          </w:tcPr>
          <w:p>
            <w:r>
              <w:rPr>
                <w:rFonts w:ascii="Arial" w:cs="Arial" w:eastAsia="Arial" w:hAnsi="Arial"/>
                <w:b/>
                <w:bCs/>
                <w:color w:val="1E293B"/>
                <w:sz w:val="19"/>
                <w:szCs w:val="19"/>
              </w:rPr>
              <w:t xml:space="preserve">100% Exact Match</w:t>
            </w:r>
          </w:p>
        </w:tc>
      </w:tr>
    </w:tbl>
    <w:p>
      <w:pPr>
        <w:spacing w:after="100" w:before="80"/>
      </w:pPr>
      <w:r>
        <w:rPr>
          <w:rFonts w:ascii="Arial" w:cs="Arial" w:eastAsia="Arial" w:hAnsi="Arial"/>
          <w:color w:val="334155"/>
          <w:sz w:val="20"/>
          <w:szCs w:val="20"/>
        </w:rPr>
        <w:t xml:space="preserve">Across three repeated verification runs against the 45-page fixture, critical field accuracy reached 100% (19/19 evaluated fields verified) with zero non-deterministic hallucinations. Every extracted field carries exact page citations and verbatim text excerpts from the contractual policy text.</w:t>
      </w:r>
    </w:p>
    <w:p>
      <w:pPr>
        <w:pStyle w:val="Heading1"/>
        <w:spacing w:after="150" w:before="400"/>
      </w:pPr>
      <w:r>
        <w:rPr>
          <w:rFonts w:ascii="Arial" w:cs="Arial" w:eastAsia="Arial" w:hAnsi="Arial"/>
          <w:b/>
          <w:bCs/>
          <w:color w:val="0B4F6C"/>
          <w:sz w:val="28"/>
          <w:szCs w:val="28"/>
        </w:rPr>
        <w:t xml:space="preserve">SECTION C — TREATMENT COST PREDICTION &amp; EMPIRICAL MODEL AUDIT</w:t>
      </w:r>
    </w:p>
    <w:p>
      <w:pPr>
        <w:spacing w:after="100" w:before="80"/>
      </w:pPr>
      <w:r>
        <w:rPr>
          <w:rFonts w:ascii="Arial" w:cs="Arial" w:eastAsia="Arial" w:hAnsi="Arial"/>
          <w:color w:val="334155"/>
          <w:sz w:val="20"/>
          <w:szCs w:val="20"/>
        </w:rPr>
        <w:t xml:space="preserve">A critical mandate of Priority 2 is establishing defensible, evidence-backed treatment cost predictions. The audit verified the exact target variable, features, and evaluation performance.</w:t>
      </w:r>
    </w:p>
    <w:p>
      <w:pPr>
        <w:pStyle w:val="Heading2"/>
        <w:spacing w:after="100" w:before="240"/>
      </w:pPr>
      <w:r>
        <w:rPr>
          <w:rFonts w:ascii="Arial" w:cs="Arial" w:eastAsia="Arial" w:hAnsi="Arial"/>
          <w:b/>
          <w:bCs/>
          <w:color w:val="083C53"/>
          <w:sz w:val="23"/>
          <w:szCs w:val="23"/>
        </w:rPr>
        <w:t xml:space="preserve">C.1 Target Variable Definition</w:t>
      </w:r>
    </w:p>
    <w:p>
      <w:pPr>
        <w:spacing w:after="100" w:before="80"/>
      </w:pPr>
      <w:r>
        <w:rPr>
          <w:rFonts w:ascii="Arial" w:cs="Arial" w:eastAsia="Arial" w:hAnsi="Arial"/>
          <w:color w:val="334155"/>
          <w:sz w:val="20"/>
          <w:szCs w:val="20"/>
        </w:rPr>
        <w:t xml:space="preserve">Target Variable: mean_cost in Indian Rupees (INR). Represents the expected hospital tariff (package price) for inpatient hospital treatment under standard twin-sharing or general ward hospitalization, including surgeon fees, operating theater charges, nursing, and basic diagnostics, excluding non-payable luxury items and discretionary upgrades.</w:t>
      </w:r>
    </w:p>
    <w:p>
      <w:pPr>
        <w:pStyle w:val="Heading2"/>
        <w:spacing w:after="100" w:before="240"/>
      </w:pPr>
      <w:r>
        <w:rPr>
          <w:rFonts w:ascii="Arial" w:cs="Arial" w:eastAsia="Arial" w:hAnsi="Arial"/>
          <w:b/>
          <w:bCs/>
          <w:color w:val="083C53"/>
          <w:sz w:val="23"/>
          <w:szCs w:val="23"/>
        </w:rPr>
        <w:t xml:space="preserve">C.2 Empirical Dataset Architecture (184 Verified Rows)</w:t>
      </w:r>
    </w:p>
    <w:p>
      <w:pPr>
        <w:spacing w:after="100" w:before="80"/>
      </w:pPr>
      <w:r>
        <w:rPr>
          <w:rFonts w:ascii="Arial" w:cs="Arial" w:eastAsia="Arial" w:hAnsi="Arial"/>
          <w:color w:val="334155"/>
          <w:sz w:val="20"/>
          <w:szCs w:val="20"/>
        </w:rPr>
        <w:t xml:space="preserve">The training pipeline utilizes 184 validated empirical private hospital treatment cost observations (pvt_costs.csv) spanning 8 canonical medical procedures: CABG (Coronary Artery Bypass), Total Knee Replacement, Cholecystectomy, Appendectomy, Cataract Surgery, Hernia Repair, Normal Delivery, and Cesarean Section across 23 city tiers (Metro 1, Urban 2, Semi-Urban 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1805"/>
        <w:gridCol w:w="1805"/>
        <w:gridCol w:w="2257"/>
      </w:tblGrid>
      <w:tr>
        <w:tc>
          <w:tcPr>
            <w:tcW w:type="pct" w:w="1750"/>
            <w:shd w:fill="0B4F6C" w:val="clear"/>
          </w:tcPr>
          <w:p>
            <w:pPr>
              <w:jc w:val="center"/>
            </w:pPr>
            <w:r>
              <w:rPr>
                <w:rFonts w:ascii="Arial" w:cs="Arial" w:eastAsia="Arial" w:hAnsi="Arial"/>
                <w:b/>
                <w:bCs/>
                <w:color w:val="FFFFFF"/>
                <w:sz w:val="20"/>
                <w:szCs w:val="20"/>
              </w:rPr>
              <w:t xml:space="preserve">Model / Baseline Method</w:t>
            </w:r>
          </w:p>
        </w:tc>
        <w:tc>
          <w:tcPr>
            <w:tcW w:type="pct" w:w="1000"/>
            <w:shd w:fill="0B4F6C" w:val="clear"/>
          </w:tcPr>
          <w:p>
            <w:pPr>
              <w:jc w:val="center"/>
            </w:pPr>
            <w:r>
              <w:rPr>
                <w:rFonts w:ascii="Arial" w:cs="Arial" w:eastAsia="Arial" w:hAnsi="Arial"/>
                <w:b/>
                <w:bCs/>
                <w:color w:val="FFFFFF"/>
                <w:sz w:val="20"/>
                <w:szCs w:val="20"/>
              </w:rPr>
              <w:t xml:space="preserve">MAE (INR)</w:t>
            </w:r>
          </w:p>
        </w:tc>
        <w:tc>
          <w:tcPr>
            <w:tcW w:type="pct" w:w="1000"/>
            <w:shd w:fill="0B4F6C" w:val="clear"/>
          </w:tcPr>
          <w:p>
            <w:pPr>
              <w:jc w:val="center"/>
            </w:pPr>
            <w:r>
              <w:rPr>
                <w:rFonts w:ascii="Arial" w:cs="Arial" w:eastAsia="Arial" w:hAnsi="Arial"/>
                <w:b/>
                <w:bCs/>
                <w:color w:val="FFFFFF"/>
                <w:sz w:val="20"/>
                <w:szCs w:val="20"/>
              </w:rPr>
              <w:t xml:space="preserve">MedAE (INR)</w:t>
            </w:r>
          </w:p>
        </w:tc>
        <w:tc>
          <w:tcPr>
            <w:tcW w:type="pct" w:w="1250"/>
            <w:shd w:fill="0B4F6C" w:val="clear"/>
          </w:tcPr>
          <w:p>
            <w:pPr>
              <w:jc w:val="center"/>
            </w:pPr>
            <w:r>
              <w:rPr>
                <w:rFonts w:ascii="Arial" w:cs="Arial" w:eastAsia="Arial" w:hAnsi="Arial"/>
                <w:b/>
                <w:bCs/>
                <w:color w:val="FFFFFF"/>
                <w:sz w:val="20"/>
                <w:szCs w:val="20"/>
              </w:rPr>
              <w:t xml:space="preserve">Empirical Interval Coverage</w:t>
            </w:r>
          </w:p>
        </w:tc>
      </w:tr>
      <w:tr>
        <w:tc>
          <w:tcPr>
            <w:tcW w:type="pct" w:w="1750"/>
            <w:shd w:fill="F8FAFC" w:val="clear"/>
          </w:tcPr>
          <w:p>
            <w:r>
              <w:rPr>
                <w:rFonts w:ascii="Arial" w:cs="Arial" w:eastAsia="Arial" w:hAnsi="Arial"/>
                <w:b/>
                <w:bCs/>
                <w:color w:val="1E293B"/>
                <w:sz w:val="19"/>
                <w:szCs w:val="19"/>
              </w:rPr>
              <w:t xml:space="preserve">Ridge Regression Model (10-fold CV)</w:t>
            </w:r>
          </w:p>
        </w:tc>
        <w:tc>
          <w:tcPr>
            <w:tcW w:type="pct" w:w="1000"/>
            <w:shd w:fill="F8FAFC" w:val="clear"/>
          </w:tcPr>
          <w:p>
            <w:r>
              <w:rPr>
                <w:rFonts w:ascii="Consolas" w:cs="Consolas" w:eastAsia="Consolas" w:hAnsi="Consolas"/>
                <w:b w:val="false"/>
                <w:bCs w:val="false"/>
                <w:color w:val="1E293B"/>
                <w:sz w:val="19"/>
                <w:szCs w:val="19"/>
              </w:rPr>
              <w:t xml:space="preserve">₹45,423</w:t>
            </w:r>
          </w:p>
        </w:tc>
        <w:tc>
          <w:tcPr>
            <w:tcW w:type="pct" w:w="1000"/>
            <w:shd w:fill="F8FAFC" w:val="clear"/>
          </w:tcPr>
          <w:p>
            <w:r>
              <w:rPr>
                <w:rFonts w:ascii="Consolas" w:cs="Consolas" w:eastAsia="Consolas" w:hAnsi="Consolas"/>
                <w:b w:val="false"/>
                <w:bCs w:val="false"/>
                <w:color w:val="1E293B"/>
                <w:sz w:val="19"/>
                <w:szCs w:val="19"/>
              </w:rPr>
              <w:t xml:space="preserve">₹36,120</w:t>
            </w:r>
          </w:p>
        </w:tc>
        <w:tc>
          <w:tcPr>
            <w:tcW w:type="pct" w:w="1250"/>
            <w:shd w:fill="F8FAFC" w:val="clear"/>
          </w:tcPr>
          <w:p>
            <w:r>
              <w:rPr>
                <w:rFonts w:ascii="Arial" w:cs="Arial" w:eastAsia="Arial" w:hAnsi="Arial"/>
                <w:b w:val="false"/>
                <w:bCs w:val="false"/>
                <w:color w:val="1E293B"/>
                <w:sz w:val="19"/>
                <w:szCs w:val="19"/>
              </w:rPr>
              <w:t xml:space="preserve">100.0% [low_cost, highest_cost]</w:t>
            </w:r>
          </w:p>
        </w:tc>
      </w:tr>
      <w:tr>
        <w:tc>
          <w:tcPr>
            <w:tcW w:type="pct" w:w="1750"/>
            <w:shd w:fill="F8FAFC" w:val="clear"/>
          </w:tcPr>
          <w:p>
            <w:r>
              <w:rPr>
                <w:rFonts w:ascii="Arial" w:cs="Arial" w:eastAsia="Arial" w:hAnsi="Arial"/>
                <w:b w:val="false"/>
                <w:bCs w:val="false"/>
                <w:color w:val="1E293B"/>
                <w:sz w:val="19"/>
                <w:szCs w:val="19"/>
              </w:rPr>
              <w:t xml:space="preserve">Overall Procedure Median Baseline</w:t>
            </w:r>
          </w:p>
        </w:tc>
        <w:tc>
          <w:tcPr>
            <w:tcW w:type="pct" w:w="1000"/>
            <w:shd w:fill="F8FAFC" w:val="clear"/>
          </w:tcPr>
          <w:p>
            <w:r>
              <w:rPr>
                <w:rFonts w:ascii="Consolas" w:cs="Consolas" w:eastAsia="Consolas" w:hAnsi="Consolas"/>
                <w:b w:val="false"/>
                <w:bCs w:val="false"/>
                <w:color w:val="1E293B"/>
                <w:sz w:val="19"/>
                <w:szCs w:val="19"/>
              </w:rPr>
              <w:t xml:space="preserve">₹45,463</w:t>
            </w:r>
          </w:p>
        </w:tc>
        <w:tc>
          <w:tcPr>
            <w:tcW w:type="pct" w:w="1000"/>
            <w:shd w:fill="F8FAFC" w:val="clear"/>
          </w:tcPr>
          <w:p>
            <w:r>
              <w:rPr>
                <w:rFonts w:ascii="Consolas" w:cs="Consolas" w:eastAsia="Consolas" w:hAnsi="Consolas"/>
                <w:b w:val="false"/>
                <w:bCs w:val="false"/>
                <w:color w:val="1E293B"/>
                <w:sz w:val="19"/>
                <w:szCs w:val="19"/>
              </w:rPr>
              <w:t xml:space="preserve">₹39,500</w:t>
            </w:r>
          </w:p>
        </w:tc>
        <w:tc>
          <w:tcPr>
            <w:tcW w:type="pct" w:w="1250"/>
            <w:shd w:fill="F8FAFC" w:val="clear"/>
          </w:tcPr>
          <w:p>
            <w:r>
              <w:rPr>
                <w:rFonts w:ascii="Arial" w:cs="Arial" w:eastAsia="Arial" w:hAnsi="Arial"/>
                <w:b w:val="false"/>
                <w:bCs w:val="false"/>
                <w:color w:val="1E293B"/>
                <w:sz w:val="19"/>
                <w:szCs w:val="19"/>
              </w:rPr>
              <w:t xml:space="preserve">94.6%</w:t>
            </w:r>
          </w:p>
        </w:tc>
      </w:tr>
      <w:tr>
        <w:tc>
          <w:tcPr>
            <w:tcW w:type="pct" w:w="1750"/>
            <w:shd w:fill="F8FAFC" w:val="clear"/>
          </w:tcPr>
          <w:p>
            <w:r>
              <w:rPr>
                <w:rFonts w:ascii="Arial" w:cs="Arial" w:eastAsia="Arial" w:hAnsi="Arial"/>
                <w:b w:val="false"/>
                <w:bCs w:val="false"/>
                <w:color w:val="1E293B"/>
                <w:sz w:val="19"/>
                <w:szCs w:val="19"/>
              </w:rPr>
              <w:t xml:space="preserve">Procedure-by-Tier Median Baseline</w:t>
            </w:r>
          </w:p>
        </w:tc>
        <w:tc>
          <w:tcPr>
            <w:tcW w:type="pct" w:w="1000"/>
            <w:shd w:fill="F8FAFC" w:val="clear"/>
          </w:tcPr>
          <w:p>
            <w:r>
              <w:rPr>
                <w:rFonts w:ascii="Consolas" w:cs="Consolas" w:eastAsia="Consolas" w:hAnsi="Consolas"/>
                <w:b w:val="false"/>
                <w:bCs w:val="false"/>
                <w:color w:val="1E293B"/>
                <w:sz w:val="19"/>
                <w:szCs w:val="19"/>
              </w:rPr>
              <w:t xml:space="preserve">₹41,120</w:t>
            </w:r>
          </w:p>
        </w:tc>
        <w:tc>
          <w:tcPr>
            <w:tcW w:type="pct" w:w="1000"/>
            <w:shd w:fill="F8FAFC" w:val="clear"/>
          </w:tcPr>
          <w:p>
            <w:r>
              <w:rPr>
                <w:rFonts w:ascii="Consolas" w:cs="Consolas" w:eastAsia="Consolas" w:hAnsi="Consolas"/>
                <w:b w:val="false"/>
                <w:bCs w:val="false"/>
                <w:color w:val="1E293B"/>
                <w:sz w:val="19"/>
                <w:szCs w:val="19"/>
              </w:rPr>
              <w:t xml:space="preserve">₹37,200</w:t>
            </w:r>
          </w:p>
        </w:tc>
        <w:tc>
          <w:tcPr>
            <w:tcW w:type="pct" w:w="1250"/>
            <w:shd w:fill="F8FAFC" w:val="clear"/>
          </w:tcPr>
          <w:p>
            <w:r>
              <w:rPr>
                <w:rFonts w:ascii="Arial" w:cs="Arial" w:eastAsia="Arial" w:hAnsi="Arial"/>
                <w:b w:val="false"/>
                <w:bCs w:val="false"/>
                <w:color w:val="1E293B"/>
                <w:sz w:val="19"/>
                <w:szCs w:val="19"/>
              </w:rPr>
              <w:t xml:space="preserve">97.8%</w:t>
            </w:r>
          </w:p>
        </w:tc>
      </w:tr>
      <w:tr>
        <w:tc>
          <w:tcPr>
            <w:tcW w:type="pct" w:w="1750"/>
            <w:shd w:fill="F8FAFC" w:val="clear"/>
          </w:tcPr>
          <w:p>
            <w:r>
              <w:rPr>
                <w:rFonts w:ascii="Arial" w:cs="Arial" w:eastAsia="Arial" w:hAnsi="Arial"/>
                <w:b w:val="false"/>
                <w:bCs w:val="false"/>
                <w:color w:val="1E293B"/>
                <w:sz w:val="19"/>
                <w:szCs w:val="19"/>
              </w:rPr>
              <w:t xml:space="preserve">Statutory Govt Scheme (CGHS) Baseline</w:t>
            </w:r>
          </w:p>
        </w:tc>
        <w:tc>
          <w:tcPr>
            <w:tcW w:type="pct" w:w="1000"/>
            <w:shd w:fill="F8FAFC" w:val="clear"/>
          </w:tcPr>
          <w:p>
            <w:r>
              <w:rPr>
                <w:rFonts w:ascii="Consolas" w:cs="Consolas" w:eastAsia="Consolas" w:hAnsi="Consolas"/>
                <w:b w:val="false"/>
                <w:bCs w:val="false"/>
                <w:color w:val="1E293B"/>
                <w:sz w:val="19"/>
                <w:szCs w:val="19"/>
              </w:rPr>
              <w:t xml:space="preserve">₹49,944</w:t>
            </w:r>
          </w:p>
        </w:tc>
        <w:tc>
          <w:tcPr>
            <w:tcW w:type="pct" w:w="1000"/>
            <w:shd w:fill="F8FAFC" w:val="clear"/>
          </w:tcPr>
          <w:p>
            <w:r>
              <w:rPr>
                <w:rFonts w:ascii="Consolas" w:cs="Consolas" w:eastAsia="Consolas" w:hAnsi="Consolas"/>
                <w:b w:val="false"/>
                <w:bCs w:val="false"/>
                <w:color w:val="1E293B"/>
                <w:sz w:val="19"/>
                <w:szCs w:val="19"/>
              </w:rPr>
              <w:t xml:space="preserve">₹44,000</w:t>
            </w:r>
          </w:p>
        </w:tc>
        <w:tc>
          <w:tcPr>
            <w:tcW w:type="pct" w:w="1250"/>
            <w:shd w:fill="F8FAFC" w:val="clear"/>
          </w:tcPr>
          <w:p>
            <w:r>
              <w:rPr>
                <w:rFonts w:ascii="Arial" w:cs="Arial" w:eastAsia="Arial" w:hAnsi="Arial"/>
                <w:b w:val="false"/>
                <w:bCs w:val="false"/>
                <w:color w:val="1E293B"/>
                <w:sz w:val="19"/>
                <w:szCs w:val="19"/>
              </w:rPr>
              <w:t xml:space="preserve">Undercuts Private by 40-55%</w:t>
            </w:r>
          </w:p>
        </w:tc>
      </w:tr>
    </w:tbl>
    <w:p>
      <w:pPr>
        <w:spacing w:after="100" w:before="80"/>
      </w:pPr>
      <w:r>
        <w:rPr>
          <w:rFonts w:ascii="Arial" w:cs="Arial" w:eastAsia="Arial" w:hAnsi="Arial"/>
          <w:color w:val="334155"/>
          <w:sz w:val="20"/>
          <w:szCs w:val="20"/>
        </w:rPr>
        <w:t xml:space="preserve">Comparative Model Evaluation &amp; Baseline Audit Findings:
1. Strongest Baseline Performance: The localized Procedure-by-Tier Median baseline achieves an MAE of ₹41,120 and MedAE of ₹37,200, outperforming the Ridge regression model (10-fold CV MAE ₹45,423). For point estimation within known procedures and city tiers, stratified empirical medians provide superior accuracy.
2. Legitimate Role of Ridge Regression: Ridge regression is maintained not as an outright point-accuracy winner, but as an interpretable parametric regressor capable of multi-variable continuous scaling across length of stay (evaluating marginal daily costs for 2 vs 5 vs 10 days) and quantifying feature driver coefficients.
3. Generalization Limitations &amp; Refusal Mandate: When evaluated across unobserved procedures (Grouped 5-Fold Procedure CV), Ridge R2 collapses to -0.68 (MAE ₹64,321). On Leave-One-Tier-Out CV, R2 is -1.13. This proves that linear/ridge models cannot reliably generalize to completely unobserved surgical procedures or unindexed geographic tiers, mandating strict refusal guardrails.
4. Prediction Interval Interpretation: The prediction interval [low_cost, highest_cost] achieves 100.0% empirical coverage across the 184 rows. However, the mean interval width is ₹1,04,804. This wide interval reflects real-world clinical package spread (general ward vs deluxe room, surgeon seniority, surgical approach), and must never be misrepresented as evidence of pinpoint algorithmic precision.
5. Statutory Government Schemes: Statutory government package rates (govt_costs.csv) systematically undercut actual private hospital tariffs by 40% to 55%. For example, Laparoscopic Cholecystectomy CGHS package rate is ₹32,000, whereas private hospital tariffs average ₹85,000 to ₹1,40,000. SehatSure strictly isolates government statutory rates from private hospital tariffs and never uses government rates as a proxy for private patient liability.</w:t>
      </w:r>
    </w:p>
    <w:p>
      <w:pPr>
        <w:pStyle w:val="Heading2"/>
        <w:spacing w:after="100" w:before="240"/>
      </w:pPr>
      <w:r>
        <w:rPr>
          <w:rFonts w:ascii="Arial" w:cs="Arial" w:eastAsia="Arial" w:hAnsi="Arial"/>
          <w:b/>
          <w:bCs/>
          <w:color w:val="083C53"/>
          <w:sz w:val="23"/>
          <w:szCs w:val="23"/>
        </w:rPr>
        <w:t xml:space="preserve">C.3 Refusal Guardrails &amp; Provenance Hierarchy</w:t>
      </w:r>
    </w:p>
    <w:p>
      <w:pPr>
        <w:spacing w:after="100" w:before="80"/>
      </w:pPr>
      <w:r>
        <w:rPr>
          <w:rFonts w:ascii="Arial" w:cs="Arial" w:eastAsia="Arial" w:hAnsi="Arial"/>
          <w:color w:val="334155"/>
          <w:sz w:val="20"/>
          <w:szCs w:val="20"/>
        </w:rPr>
        <w:t xml:space="preserve">Data Provenance: The 184 validated training rows are classified according to the FIN-01 Provenance Hierarchy: Level A (Hospital-Specific Verified Tariffs from Pune facilities), Level B (State Healthcare Surveys), Level C (NHSCD / PGIMER Chandigarh), Level D (Statutory PMJAY HBP 2.2 floor benchmarks), and Level E (Academic cost studies). Unverified records are strictly excluded from model training.
Refusal Rule: When an unindexed procedure, unsupported city tier, or implausible length of stay (&gt;30 days) is requested, the system returns status: "insufficient_data" with an explicit reason rather than generating a fictitious cost estimate.</w:t>
      </w:r>
    </w:p>
    <w:p>
      <w:pPr>
        <w:pStyle w:val="Heading1"/>
        <w:spacing w:after="150" w:before="400"/>
      </w:pPr>
      <w:r>
        <w:rPr>
          <w:rFonts w:ascii="Arial" w:cs="Arial" w:eastAsia="Arial" w:hAnsi="Arial"/>
          <w:b/>
          <w:bCs/>
          <w:color w:val="0B4F6C"/>
          <w:sz w:val="28"/>
          <w:szCs w:val="28"/>
        </w:rPr>
        <w:t xml:space="preserve">SECTION D — HOSPITAL RANKING FORMULA &amp; SENSITIVITY ANALYSIS</w:t>
      </w:r>
    </w:p>
    <w:p>
      <w:pPr>
        <w:spacing w:after="100" w:before="80"/>
      </w:pPr>
      <w:r>
        <w:rPr>
          <w:rFonts w:ascii="Arial" w:cs="Arial" w:eastAsia="Arial" w:hAnsi="Arial"/>
          <w:color w:val="334155"/>
          <w:sz w:val="20"/>
          <w:szCs w:val="20"/>
        </w:rPr>
        <w:t xml:space="preserve">Hospital ranking is structured as a transparent multi-attribute decision-support heuristic. It explicitly separates hard eligibility requirements from preference-based weighting.</w:t>
      </w:r>
    </w:p>
    <w:p>
      <w:pPr>
        <w:pStyle w:val="Heading2"/>
        <w:spacing w:after="100" w:before="240"/>
      </w:pPr>
      <w:r>
        <w:rPr>
          <w:rFonts w:ascii="Arial" w:cs="Arial" w:eastAsia="Arial" w:hAnsi="Arial"/>
          <w:b/>
          <w:bCs/>
          <w:color w:val="083C53"/>
          <w:sz w:val="23"/>
          <w:szCs w:val="23"/>
        </w:rPr>
        <w:t xml:space="preserve">D.1 Hard Network Eligibility Constraint</w:t>
      </w:r>
    </w:p>
    <w:p>
      <w:pPr>
        <w:pBdr>
          <w:left w:val="single" w:color="00B894" w:sz="24" w:space="10"/>
        </w:pBdr>
        <w:spacing w:after="100" w:before="80"/>
      </w:pPr>
      <w:r>
        <w:rPr>
          <w:rFonts w:ascii="Arial" w:cs="Arial" w:eastAsia="Arial" w:hAnsi="Arial"/>
          <w:color w:val="0F172A"/>
          <w:sz w:val="20"/>
          <w:szCs w:val="20"/>
        </w:rPr>
        <w:t xml:space="preserve">Rule: Verified network hospitals (isNetworkVerified = true) are strictly prioritized above unverified hospitals regardless of other attributes. An unverified facility is never represented as a cashless network partner.</w:t>
      </w:r>
    </w:p>
    <w:p>
      <w:pPr>
        <w:pStyle w:val="Heading2"/>
        <w:spacing w:after="100" w:before="240"/>
      </w:pPr>
      <w:r>
        <w:rPr>
          <w:rFonts w:ascii="Arial" w:cs="Arial" w:eastAsia="Arial" w:hAnsi="Arial"/>
          <w:b/>
          <w:bCs/>
          <w:color w:val="083C53"/>
          <w:sz w:val="23"/>
          <w:szCs w:val="23"/>
        </w:rPr>
        <w:t xml:space="preserve">D.2 Implemented Fit Score Mathematical Formulation</w:t>
      </w:r>
    </w:p>
    <w:p>
      <w:pPr>
        <w:shd w:fill="F1F5F9" w:val="clear"/>
        <w:spacing w:after="120" w:before="120"/>
      </w:pPr>
      <w:r>
        <w:rPr>
          <w:rFonts w:ascii="Consolas" w:cs="Consolas" w:eastAsia="Consolas" w:hAnsi="Consolas"/>
          <w:b/>
          <w:bCs/>
          <w:color w:val="0B4F6C"/>
          <w:sz w:val="21"/>
          <w:szCs w:val="21"/>
        </w:rPr>
        <w:t xml:space="preserve">Formula: FitScore = 0.50 * CoverageFit + 0.25 * PatientCostFit + 0.15 * HospitalTypeScore + 0.10 * CoPayFit
</w:t>
      </w:r>
      <w:r>
        <w:rPr>
          <w:rFonts w:ascii="Arial" w:cs="Arial" w:eastAsia="Arial" w:hAnsi="Arial"/>
          <w:color w:val="475569"/>
          <w:sz w:val="19"/>
          <w:szCs w:val="19"/>
        </w:rPr>
        <w:t xml:space="preserve">Context: All factors normalized to [0, 100]. Total weights sum exactly to 1.00.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3159"/>
        <w:gridCol w:w="2257"/>
      </w:tblGrid>
      <w:tr>
        <w:tc>
          <w:tcPr>
            <w:tcW w:type="pct" w:w="1250"/>
            <w:shd w:fill="0B4F6C" w:val="clear"/>
          </w:tcPr>
          <w:p>
            <w:pPr>
              <w:jc w:val="center"/>
            </w:pPr>
            <w:r>
              <w:rPr>
                <w:rFonts w:ascii="Arial" w:cs="Arial" w:eastAsia="Arial" w:hAnsi="Arial"/>
                <w:b/>
                <w:bCs/>
                <w:color w:val="FFFFFF"/>
                <w:sz w:val="20"/>
                <w:szCs w:val="20"/>
              </w:rPr>
              <w:t xml:space="preserve">Factor</w:t>
            </w:r>
          </w:p>
        </w:tc>
        <w:tc>
          <w:tcPr>
            <w:tcW w:type="pct" w:w="750"/>
            <w:shd w:fill="0B4F6C" w:val="clear"/>
          </w:tcPr>
          <w:p>
            <w:pPr>
              <w:jc w:val="center"/>
            </w:pPr>
            <w:r>
              <w:rPr>
                <w:rFonts w:ascii="Arial" w:cs="Arial" w:eastAsia="Arial" w:hAnsi="Arial"/>
                <w:b/>
                <w:bCs/>
                <w:color w:val="FFFFFF"/>
                <w:sz w:val="20"/>
                <w:szCs w:val="20"/>
              </w:rPr>
              <w:t xml:space="preserve">Weight</w:t>
            </w:r>
          </w:p>
        </w:tc>
        <w:tc>
          <w:tcPr>
            <w:tcW w:type="pct" w:w="1750"/>
            <w:shd w:fill="0B4F6C" w:val="clear"/>
          </w:tcPr>
          <w:p>
            <w:pPr>
              <w:jc w:val="center"/>
            </w:pPr>
            <w:r>
              <w:rPr>
                <w:rFonts w:ascii="Arial" w:cs="Arial" w:eastAsia="Arial" w:hAnsi="Arial"/>
                <w:b/>
                <w:bCs/>
                <w:color w:val="FFFFFF"/>
                <w:sz w:val="20"/>
                <w:szCs w:val="20"/>
              </w:rPr>
              <w:t xml:space="preserve">Normalization Formula</w:t>
            </w:r>
          </w:p>
        </w:tc>
        <w:tc>
          <w:tcPr>
            <w:tcW w:type="pct" w:w="1250"/>
            <w:shd w:fill="0B4F6C" w:val="clear"/>
          </w:tcPr>
          <w:p>
            <w:pPr>
              <w:jc w:val="center"/>
            </w:pPr>
            <w:r>
              <w:rPr>
                <w:rFonts w:ascii="Arial" w:cs="Arial" w:eastAsia="Arial" w:hAnsi="Arial"/>
                <w:b/>
                <w:bCs/>
                <w:color w:val="FFFFFF"/>
                <w:sz w:val="20"/>
                <w:szCs w:val="20"/>
              </w:rPr>
              <w:t xml:space="preserve">Significance &amp; Handling</w:t>
            </w:r>
          </w:p>
        </w:tc>
      </w:tr>
      <w:tr>
        <w:tc>
          <w:tcPr>
            <w:tcW w:type="pct" w:w="1250"/>
            <w:shd w:fill="F8FAFC" w:val="clear"/>
          </w:tcPr>
          <w:p>
            <w:r>
              <w:rPr>
                <w:rFonts w:ascii="Arial" w:cs="Arial" w:eastAsia="Arial" w:hAnsi="Arial"/>
                <w:b/>
                <w:bCs/>
                <w:color w:val="1E293B"/>
                <w:sz w:val="19"/>
                <w:szCs w:val="19"/>
              </w:rPr>
              <w:t xml:space="preserve">CoverageFit</w:t>
            </w:r>
          </w:p>
        </w:tc>
        <w:tc>
          <w:tcPr>
            <w:tcW w:type="pct" w:w="750"/>
            <w:shd w:fill="F8FAFC" w:val="clear"/>
          </w:tcPr>
          <w:p>
            <w:r>
              <w:rPr>
                <w:rFonts w:ascii="Consolas" w:cs="Consolas" w:eastAsia="Consolas" w:hAnsi="Consolas"/>
                <w:b w:val="false"/>
                <w:bCs w:val="false"/>
                <w:color w:val="1E293B"/>
                <w:sz w:val="19"/>
                <w:szCs w:val="19"/>
              </w:rPr>
              <w:t xml:space="preserve">0.50 (50%)</w:t>
            </w:r>
          </w:p>
        </w:tc>
        <w:tc>
          <w:tcPr>
            <w:tcW w:type="pct" w:w="1750"/>
            <w:shd w:fill="F8FAFC" w:val="clear"/>
          </w:tcPr>
          <w:p>
            <w:r>
              <w:rPr>
                <w:rFonts w:ascii="Consolas" w:cs="Consolas" w:eastAsia="Consolas" w:hAnsi="Consolas"/>
                <w:b w:val="false"/>
                <w:bCs w:val="false"/>
                <w:color w:val="1E293B"/>
                <w:sz w:val="19"/>
                <w:szCs w:val="19"/>
              </w:rPr>
              <w:t xml:space="preserve">min(100, (SumInsured / EstimatedTariff) * 100)</w:t>
            </w:r>
          </w:p>
        </w:tc>
        <w:tc>
          <w:tcPr>
            <w:tcW w:type="pct" w:w="1250"/>
            <w:shd w:fill="F8FAFC" w:val="clear"/>
          </w:tcPr>
          <w:p>
            <w:r>
              <w:rPr>
                <w:rFonts w:ascii="Arial" w:cs="Arial" w:eastAsia="Arial" w:hAnsi="Arial"/>
                <w:b w:val="false"/>
                <w:bCs w:val="false"/>
                <w:color w:val="1E293B"/>
                <w:sz w:val="19"/>
                <w:szCs w:val="19"/>
              </w:rPr>
              <w:t xml:space="preserve">Financial buffer before policy exhaustion</w:t>
            </w:r>
          </w:p>
        </w:tc>
      </w:tr>
      <w:tr>
        <w:tc>
          <w:tcPr>
            <w:tcW w:type="pct" w:w="1250"/>
            <w:shd w:fill="F8FAFC" w:val="clear"/>
          </w:tcPr>
          <w:p>
            <w:r>
              <w:rPr>
                <w:rFonts w:ascii="Arial" w:cs="Arial" w:eastAsia="Arial" w:hAnsi="Arial"/>
                <w:b/>
                <w:bCs/>
                <w:color w:val="1E293B"/>
                <w:sz w:val="19"/>
                <w:szCs w:val="19"/>
              </w:rPr>
              <w:t xml:space="preserve">PatientCostFit</w:t>
            </w:r>
          </w:p>
        </w:tc>
        <w:tc>
          <w:tcPr>
            <w:tcW w:type="pct" w:w="750"/>
            <w:shd w:fill="F8FAFC" w:val="clear"/>
          </w:tcPr>
          <w:p>
            <w:r>
              <w:rPr>
                <w:rFonts w:ascii="Consolas" w:cs="Consolas" w:eastAsia="Consolas" w:hAnsi="Consolas"/>
                <w:b w:val="false"/>
                <w:bCs w:val="false"/>
                <w:color w:val="1E293B"/>
                <w:sz w:val="19"/>
                <w:szCs w:val="19"/>
              </w:rPr>
              <w:t xml:space="preserve">0.25 (25%)</w:t>
            </w:r>
          </w:p>
        </w:tc>
        <w:tc>
          <w:tcPr>
            <w:tcW w:type="pct" w:w="1750"/>
            <w:shd w:fill="F8FAFC" w:val="clear"/>
          </w:tcPr>
          <w:p>
            <w:r>
              <w:rPr>
                <w:rFonts w:ascii="Consolas" w:cs="Consolas" w:eastAsia="Consolas" w:hAnsi="Consolas"/>
                <w:b w:val="false"/>
                <w:bCs w:val="false"/>
                <w:color w:val="1E293B"/>
                <w:sz w:val="19"/>
                <w:szCs w:val="19"/>
              </w:rPr>
              <w:t xml:space="preserve">max(0, 100 - (PatientOOP / SumInsured) * 100)</w:t>
            </w:r>
          </w:p>
        </w:tc>
        <w:tc>
          <w:tcPr>
            <w:tcW w:type="pct" w:w="1250"/>
            <w:shd w:fill="F8FAFC" w:val="clear"/>
          </w:tcPr>
          <w:p>
            <w:r>
              <w:rPr>
                <w:rFonts w:ascii="Arial" w:cs="Arial" w:eastAsia="Arial" w:hAnsi="Arial"/>
                <w:b w:val="false"/>
                <w:bCs w:val="false"/>
                <w:color w:val="1E293B"/>
                <w:sz w:val="19"/>
                <w:szCs w:val="19"/>
              </w:rPr>
              <w:t xml:space="preserve">Direct measure of expected out-of-pocket load</w:t>
            </w:r>
          </w:p>
        </w:tc>
      </w:tr>
      <w:tr>
        <w:tc>
          <w:tcPr>
            <w:tcW w:type="pct" w:w="1250"/>
            <w:shd w:fill="F8FAFC" w:val="clear"/>
          </w:tcPr>
          <w:p>
            <w:r>
              <w:rPr>
                <w:rFonts w:ascii="Arial" w:cs="Arial" w:eastAsia="Arial" w:hAnsi="Arial"/>
                <w:b/>
                <w:bCs/>
                <w:color w:val="1E293B"/>
                <w:sz w:val="19"/>
                <w:szCs w:val="19"/>
              </w:rPr>
              <w:t xml:space="preserve">HospitalTypeScore</w:t>
            </w:r>
          </w:p>
        </w:tc>
        <w:tc>
          <w:tcPr>
            <w:tcW w:type="pct" w:w="750"/>
            <w:shd w:fill="F8FAFC" w:val="clear"/>
          </w:tcPr>
          <w:p>
            <w:r>
              <w:rPr>
                <w:rFonts w:ascii="Consolas" w:cs="Consolas" w:eastAsia="Consolas" w:hAnsi="Consolas"/>
                <w:b w:val="false"/>
                <w:bCs w:val="false"/>
                <w:color w:val="1E293B"/>
                <w:sz w:val="19"/>
                <w:szCs w:val="19"/>
              </w:rPr>
              <w:t xml:space="preserve">0.15 (15%)</w:t>
            </w:r>
          </w:p>
        </w:tc>
        <w:tc>
          <w:tcPr>
            <w:tcW w:type="pct" w:w="1750"/>
            <w:shd w:fill="F8FAFC" w:val="clear"/>
          </w:tcPr>
          <w:p>
            <w:r>
              <w:rPr>
                <w:rFonts w:ascii="Consolas" w:cs="Consolas" w:eastAsia="Consolas" w:hAnsi="Consolas"/>
                <w:b w:val="false"/>
                <w:bCs w:val="false"/>
                <w:color w:val="1E293B"/>
                <w:sz w:val="19"/>
                <w:szCs w:val="19"/>
              </w:rPr>
              <w:t xml:space="preserve">Corporate/NABH = 95; Private = 85; Trust = 75; Govt = 65</w:t>
            </w:r>
          </w:p>
        </w:tc>
        <w:tc>
          <w:tcPr>
            <w:tcW w:type="pct" w:w="1250"/>
            <w:shd w:fill="F8FAFC" w:val="clear"/>
          </w:tcPr>
          <w:p>
            <w:r>
              <w:rPr>
                <w:rFonts w:ascii="Arial" w:cs="Arial" w:eastAsia="Arial" w:hAnsi="Arial"/>
                <w:b w:val="false"/>
                <w:bCs w:val="false"/>
                <w:color w:val="1E293B"/>
                <w:sz w:val="19"/>
                <w:szCs w:val="19"/>
              </w:rPr>
              <w:t xml:space="preserve">Accreditation and clinical infrastructure level</w:t>
            </w:r>
          </w:p>
        </w:tc>
      </w:tr>
      <w:tr>
        <w:tc>
          <w:tcPr>
            <w:tcW w:type="pct" w:w="1250"/>
            <w:shd w:fill="F8FAFC" w:val="clear"/>
          </w:tcPr>
          <w:p>
            <w:r>
              <w:rPr>
                <w:rFonts w:ascii="Arial" w:cs="Arial" w:eastAsia="Arial" w:hAnsi="Arial"/>
                <w:b/>
                <w:bCs/>
                <w:color w:val="1E293B"/>
                <w:sz w:val="19"/>
                <w:szCs w:val="19"/>
              </w:rPr>
              <w:t xml:space="preserve">CoPayFit</w:t>
            </w:r>
          </w:p>
        </w:tc>
        <w:tc>
          <w:tcPr>
            <w:tcW w:type="pct" w:w="750"/>
            <w:shd w:fill="F8FAFC" w:val="clear"/>
          </w:tcPr>
          <w:p>
            <w:r>
              <w:rPr>
                <w:rFonts w:ascii="Consolas" w:cs="Consolas" w:eastAsia="Consolas" w:hAnsi="Consolas"/>
                <w:b w:val="false"/>
                <w:bCs w:val="false"/>
                <w:color w:val="1E293B"/>
                <w:sz w:val="19"/>
                <w:szCs w:val="19"/>
              </w:rPr>
              <w:t xml:space="preserve">0.10 (10%)</w:t>
            </w:r>
          </w:p>
        </w:tc>
        <w:tc>
          <w:tcPr>
            <w:tcW w:type="pct" w:w="1750"/>
            <w:shd w:fill="F8FAFC" w:val="clear"/>
          </w:tcPr>
          <w:p>
            <w:r>
              <w:rPr>
                <w:rFonts w:ascii="Consolas" w:cs="Consolas" w:eastAsia="Consolas" w:hAnsi="Consolas"/>
                <w:b w:val="false"/>
                <w:bCs w:val="false"/>
                <w:color w:val="1E293B"/>
                <w:sz w:val="19"/>
                <w:szCs w:val="19"/>
              </w:rPr>
              <w:t xml:space="preserve">100 - ApplicableCoPayPercentage</w:t>
            </w:r>
          </w:p>
        </w:tc>
        <w:tc>
          <w:tcPr>
            <w:tcW w:type="pct" w:w="1250"/>
            <w:shd w:fill="F8FAFC" w:val="clear"/>
          </w:tcPr>
          <w:p>
            <w:r>
              <w:rPr>
                <w:rFonts w:ascii="Arial" w:cs="Arial" w:eastAsia="Arial" w:hAnsi="Arial"/>
                <w:b w:val="false"/>
                <w:bCs w:val="false"/>
                <w:color w:val="1E293B"/>
                <w:sz w:val="19"/>
                <w:szCs w:val="19"/>
              </w:rPr>
              <w:t xml:space="preserve">Differential co-pay penalty (0% network vs 10% non-network)</w:t>
            </w:r>
          </w:p>
        </w:tc>
      </w:tr>
    </w:tbl>
    <w:p>
      <w:pPr>
        <w:pStyle w:val="Heading2"/>
        <w:spacing w:after="100" w:before="240"/>
      </w:pPr>
      <w:r>
        <w:rPr>
          <w:rFonts w:ascii="Arial" w:cs="Arial" w:eastAsia="Arial" w:hAnsi="Arial"/>
          <w:b/>
          <w:bCs/>
          <w:color w:val="083C53"/>
          <w:sz w:val="23"/>
          <w:szCs w:val="23"/>
        </w:rPr>
        <w:t xml:space="preserve">D.3 Sensitivity Analysis &amp; Missing Data Policy</w:t>
      </w:r>
    </w:p>
    <w:p>
      <w:pPr>
        <w:spacing w:after="100" w:before="80"/>
      </w:pPr>
      <w:r>
        <w:rPr>
          <w:rFonts w:ascii="Arial" w:cs="Arial" w:eastAsia="Arial" w:hAnsi="Arial"/>
          <w:color w:val="334155"/>
          <w:sz w:val="20"/>
          <w:szCs w:val="20"/>
        </w:rPr>
        <w:t xml:space="preserve">Sensitivity analysis confirms that the ranking remains stable across +/-10% shifts in factor weights. When cost benchmarks are unavailable for a specialty, PatientCostFit defaults to neutral 70.0 rather than distorting hospital rank.</w:t>
      </w:r>
    </w:p>
    <w:p>
      <w:pPr>
        <w:pStyle w:val="Heading1"/>
        <w:spacing w:after="150" w:before="400"/>
      </w:pPr>
      <w:r>
        <w:rPr>
          <w:rFonts w:ascii="Arial" w:cs="Arial" w:eastAsia="Arial" w:hAnsi="Arial"/>
          <w:b/>
          <w:bCs/>
          <w:color w:val="0B4F6C"/>
          <w:sz w:val="28"/>
          <w:szCs w:val="28"/>
        </w:rPr>
        <w:t xml:space="preserve">SECTION E — POLICY FIT SCORE COMPONENT ARCHITECTURE</w:t>
      </w:r>
    </w:p>
    <w:p>
      <w:pPr>
        <w:spacing w:after="100" w:before="80"/>
      </w:pPr>
      <w:r>
        <w:rPr>
          <w:rFonts w:ascii="Arial" w:cs="Arial" w:eastAsia="Arial" w:hAnsi="Arial"/>
          <w:color w:val="334155"/>
          <w:sz w:val="20"/>
          <w:szCs w:val="20"/>
        </w:rPr>
        <w:t xml:space="preserve">The Policy Fit Score provides patients with an intuitive, unified 0–100 index representing how effectively their specific health insurance policy shields them from financial liability at a target hospital.</w:t>
      </w:r>
    </w:p>
    <w:p>
      <w:pPr>
        <w:spacing w:after="100" w:before="80"/>
      </w:pPr>
      <w:r>
        <w:rPr>
          <w:rFonts w:ascii="Arial" w:cs="Arial" w:eastAsia="Arial" w:hAnsi="Arial"/>
          <w:color w:val="334155"/>
          <w:sz w:val="20"/>
          <w:szCs w:val="20"/>
        </w:rPr>
        <w:t xml:space="preserve">Score Scale Interpretation:
• 85–100: Optimal Fit. Hospital is in-network, sum insured exceeds package tariff, co-pay is 0%, room rent limit matches hospital ward charges.
• 70–84: Moderate Fit. Hospital is in-network or standard private, but procedure sublimits or a minor 10% co-pay may require moderate out-of-pocket expenditure.
• Below 70: Cautionary Fit. Significant financial exposure caused by non-network co-payments, room rent proportionate disallowance, or low sum insured headroom.</w:t>
      </w:r>
    </w:p>
    <w:p>
      <w:pPr>
        <w:pStyle w:val="Heading1"/>
        <w:spacing w:after="150" w:before="400"/>
      </w:pPr>
      <w:r>
        <w:rPr>
          <w:rFonts w:ascii="Arial" w:cs="Arial" w:eastAsia="Arial" w:hAnsi="Arial"/>
          <w:b/>
          <w:bCs/>
          <w:color w:val="0B4F6C"/>
          <w:sz w:val="28"/>
          <w:szCs w:val="28"/>
        </w:rPr>
        <w:t xml:space="preserve">SECTION F — DETERMINISTIC CLAIM ADJUDICATION PIPELINE &amp; INVARIANTS</w:t>
      </w:r>
    </w:p>
    <w:p>
      <w:pPr>
        <w:spacing w:after="100" w:before="80"/>
      </w:pPr>
      <w:r>
        <w:rPr>
          <w:rFonts w:ascii="Arial" w:cs="Arial" w:eastAsia="Arial" w:hAnsi="Arial"/>
          <w:color w:val="334155"/>
          <w:sz w:val="20"/>
          <w:szCs w:val="20"/>
        </w:rPr>
        <w:t xml:space="preserve">The claim adjudication engine evaluates hospital tax invoices and itemized discharge bills through a deterministic 6-stage sequential pipeline. It enforces strict auditability and mathematical reconciliation.</w:t>
      </w:r>
    </w:p>
    <w:p>
      <w:pPr>
        <w:pStyle w:val="Heading2"/>
        <w:spacing w:after="100" w:before="240"/>
      </w:pPr>
      <w:r>
        <w:rPr>
          <w:rFonts w:ascii="Arial" w:cs="Arial" w:eastAsia="Arial" w:hAnsi="Arial"/>
          <w:b/>
          <w:bCs/>
          <w:color w:val="083C53"/>
          <w:sz w:val="23"/>
          <w:szCs w:val="23"/>
        </w:rPr>
        <w:t xml:space="preserve">F.1 Fundamental Accounting Invariant</w:t>
      </w:r>
    </w:p>
    <w:p>
      <w:pPr>
        <w:shd w:fill="F1F5F9" w:val="clear"/>
        <w:spacing w:after="120" w:before="120"/>
      </w:pPr>
      <w:r>
        <w:rPr>
          <w:rFonts w:ascii="Consolas" w:cs="Consolas" w:eastAsia="Consolas" w:hAnsi="Consolas"/>
          <w:b/>
          <w:bCs/>
          <w:color w:val="0B4F6C"/>
          <w:sz w:val="21"/>
          <w:szCs w:val="21"/>
        </w:rPr>
        <w:t xml:space="preserve">Formula: ClaimedBillTotal = FinalInsurerPayable + TotalPatientOutofPocket + UnresolvedDiscrepancy
</w:t>
      </w:r>
      <w:r>
        <w:rPr>
          <w:rFonts w:ascii="Arial" w:cs="Arial" w:eastAsia="Arial" w:hAnsi="Arial"/>
          <w:color w:val="475569"/>
          <w:sz w:val="19"/>
          <w:szCs w:val="19"/>
        </w:rPr>
        <w:t xml:space="preserve">Context: Invariant must evaluate to zero discrepancy (Difference = 0 Paise) across all calculations.</w:t>
      </w:r>
    </w:p>
    <w:p>
      <w:pPr>
        <w:pStyle w:val="Heading2"/>
        <w:spacing w:after="100" w:before="240"/>
      </w:pPr>
      <w:r>
        <w:rPr>
          <w:rFonts w:ascii="Arial" w:cs="Arial" w:eastAsia="Arial" w:hAnsi="Arial"/>
          <w:b/>
          <w:bCs/>
          <w:color w:val="083C53"/>
          <w:sz w:val="23"/>
          <w:szCs w:val="23"/>
        </w:rPr>
        <w:t xml:space="preserve">F.2 The Six Adjudication Stages</w:t>
      </w:r>
    </w:p>
    <w:p>
      <w:pPr>
        <w:spacing w:after="100" w:before="80"/>
      </w:pPr>
      <w:r>
        <w:rPr>
          <w:rFonts w:ascii="Arial" w:cs="Arial" w:eastAsia="Arial" w:hAnsi="Arial"/>
          <w:color w:val="334155"/>
          <w:sz w:val="20"/>
          <w:szCs w:val="20"/>
        </w:rPr>
        <w:t xml:space="preserve">Stage 1 — Classification &amp; Statutory Non-Payables: Automatically detects IRDAI Schedule I items (gloves, masks, registration charges, cotton, sanitizers) and disallows them as non-payable patient liabilities.</w:t>
      </w:r>
    </w:p>
    <w:p>
      <w:pPr>
        <w:pBdr>
          <w:left w:val="single" w:color="00B894" w:sz="24" w:space="10"/>
        </w:pBdr>
        <w:spacing w:after="100" w:before="80"/>
      </w:pPr>
      <w:r>
        <w:rPr>
          <w:rFonts w:ascii="Arial" w:cs="Arial" w:eastAsia="Arial" w:hAnsi="Arial"/>
          <w:color w:val="0F172A"/>
          <w:sz w:val="20"/>
          <w:szCs w:val="20"/>
        </w:rPr>
        <w:t xml:space="preserve">Stage 2 — Room Rent &amp; Proportionate Disallowance: If claimed room rent exceeds the policy daily limit, the proportionate reduction factor is calculated:
PR = AllowedRoomRent / ClaimedRoomRent
Proportionate deduction is applied strictly to associated medical fees (surgeon fees, nursing, OT charges). ICU charges, statutory medicines, and non-proportional consumables are explicitly exempt from proportionate reduction.</w:t>
      </w:r>
    </w:p>
    <w:p>
      <w:pPr>
        <w:spacing w:after="100" w:before="80"/>
      </w:pPr>
      <w:r>
        <w:rPr>
          <w:rFonts w:ascii="Arial" w:cs="Arial" w:eastAsia="Arial" w:hAnsi="Arial"/>
          <w:color w:val="334155"/>
          <w:sz w:val="20"/>
          <w:szCs w:val="20"/>
        </w:rPr>
        <w:t xml:space="preserve">Stage 3 — Procedure Sub-Limit Capping: Procedure-specific sublimits (e.g. Cataract ₹40,000 / ₹60,000; Hernia ₹50,000) are enforced after proportionate deductions. General surgical limits remain subordinate to disease-specific sublimits.</w:t>
      </w:r>
    </w:p>
    <w:p>
      <w:pPr>
        <w:spacing w:after="100" w:before="80"/>
      </w:pPr>
      <w:r>
        <w:rPr>
          <w:rFonts w:ascii="Arial" w:cs="Arial" w:eastAsia="Arial" w:hAnsi="Arial"/>
          <w:color w:val="334155"/>
          <w:sz w:val="20"/>
          <w:szCs w:val="20"/>
        </w:rPr>
        <w:t xml:space="preserve">Stage 4 — Deductible Application: Contractual deductibles are deducted once from admissible charges before co-payment calculation.</w:t>
      </w:r>
    </w:p>
    <w:p>
      <w:pPr>
        <w:spacing w:after="100" w:before="80"/>
      </w:pPr>
      <w:r>
        <w:rPr>
          <w:rFonts w:ascii="Arial" w:cs="Arial" w:eastAsia="Arial" w:hAnsi="Arial"/>
          <w:color w:val="334155"/>
          <w:sz w:val="20"/>
          <w:szCs w:val="20"/>
        </w:rPr>
        <w:t xml:space="preserve">Stage 5 — Co-Payment Application: Co-payments (e.g. 10% for non-network hospitals or senior citizen clauses) are applied to the post-deductible balance.</w:t>
      </w:r>
    </w:p>
    <w:p>
      <w:pPr>
        <w:spacing w:after="100" w:before="80"/>
      </w:pPr>
      <w:r>
        <w:rPr>
          <w:rFonts w:ascii="Arial" w:cs="Arial" w:eastAsia="Arial" w:hAnsi="Arial"/>
          <w:color w:val="334155"/>
          <w:sz w:val="20"/>
          <w:szCs w:val="20"/>
        </w:rPr>
        <w:t xml:space="preserve">Stage 6 — Sum Insured Capping &amp; Final Reconciliation: Final insurer payable is capped at available sum insured headroom. Any remaining admissible amount exceeding sum insured shifts to patient liability.</w:t>
      </w:r>
    </w:p>
    <w:p>
      <w:pPr>
        <w:pStyle w:val="Heading1"/>
        <w:spacing w:after="150" w:before="400"/>
      </w:pPr>
      <w:r>
        <w:rPr>
          <w:rFonts w:ascii="Arial" w:cs="Arial" w:eastAsia="Arial" w:hAnsi="Arial"/>
          <w:b/>
          <w:bCs/>
          <w:color w:val="0B4F6C"/>
          <w:sz w:val="28"/>
          <w:szCs w:val="28"/>
        </w:rPr>
        <w:t xml:space="preserve">SECTION G — DATA PROVENANCE, DURABLE STORAGE &amp; RETRIEVAL</w:t>
      </w:r>
    </w:p>
    <w:p>
      <w:pPr>
        <w:spacing w:after="100" w:before="80"/>
      </w:pPr>
      <w:r>
        <w:rPr>
          <w:rFonts w:ascii="Arial" w:cs="Arial" w:eastAsia="Arial" w:hAnsi="Arial"/>
          <w:color w:val="334155"/>
          <w:sz w:val="20"/>
          <w:szCs w:val="20"/>
        </w:rPr>
        <w:t xml:space="preserve">Priority 5 established durable byte-level file persistence and historical snapshot retrieval for all uploaded policies, hospital bills, bill images, and endorsements.</w:t>
      </w:r>
    </w:p>
    <w:p>
      <w:pPr>
        <w:pStyle w:val="Heading2"/>
        <w:spacing w:after="100" w:before="240"/>
      </w:pPr>
      <w:r>
        <w:rPr>
          <w:rFonts w:ascii="Arial" w:cs="Arial" w:eastAsia="Arial" w:hAnsi="Arial"/>
          <w:b/>
          <w:bCs/>
          <w:color w:val="083C53"/>
          <w:sz w:val="23"/>
          <w:szCs w:val="23"/>
        </w:rPr>
        <w:t xml:space="preserve">G.1 Storage Architecture &amp; Cryptographic Integrity</w:t>
      </w:r>
    </w:p>
    <w:p>
      <w:pPr>
        <w:spacing w:after="100" w:before="80"/>
      </w:pPr>
      <w:r>
        <w:rPr>
          <w:rFonts w:ascii="Arial" w:cs="Arial" w:eastAsia="Arial" w:hAnsi="Arial"/>
          <w:color w:val="334155"/>
          <w:sz w:val="20"/>
          <w:szCs w:val="20"/>
        </w:rPr>
        <w:t xml:space="preserve">Uploaded files are written directly to server/storage/documents/ with unique IDs (doc_&lt;timestamp&gt;_&lt;uuid&gt;). A SHA-256 cryptographic digest is computed on the raw bytes and stored in MongoDB SavedDocument. Disk integrity can be audited anytime via GET /api/documents/:id/verify.</w:t>
      </w:r>
    </w:p>
    <w:p>
      <w:pPr>
        <w:pStyle w:val="Heading2"/>
        <w:spacing w:after="100" w:before="240"/>
      </w:pPr>
      <w:r>
        <w:rPr>
          <w:rFonts w:ascii="Arial" w:cs="Arial" w:eastAsia="Arial" w:hAnsi="Arial"/>
          <w:b/>
          <w:bCs/>
          <w:color w:val="083C53"/>
          <w:sz w:val="23"/>
          <w:szCs w:val="23"/>
        </w:rPr>
        <w:t xml:space="preserve">G.2 Immutable Historical Snapshots &amp; Deployment Storage Boundaries</w:t>
      </w:r>
    </w:p>
    <w:p>
      <w:pPr>
        <w:spacing w:after="100" w:before="80"/>
      </w:pPr>
      <w:r>
        <w:rPr>
          <w:rFonts w:ascii="Arial" w:cs="Arial" w:eastAsia="Arial" w:hAnsi="Arial"/>
          <w:color w:val="334155"/>
          <w:sz w:val="20"/>
          <w:szCs w:val="20"/>
        </w:rPr>
        <w:t xml:space="preserve">Retention &amp; Deployment Storage Boundaries: Original document byte persistence is verified on the local host filesystem (surviving backend process restarts). However, on ephemeral cloud containers (e.g., standard Render Free Tier instances without persistent volume attachments), container redeployments wipe local disk storage. Production multi-year retention requires provisioning dedicated persistent disk volumes or S3-compatible cloud object storage.</w:t>
      </w:r>
    </w:p>
    <w:p>
      <w:pPr>
        <w:pStyle w:val="Heading1"/>
        <w:spacing w:after="150" w:before="400"/>
      </w:pPr>
      <w:r>
        <w:rPr>
          <w:rFonts w:ascii="Arial" w:cs="Arial" w:eastAsia="Arial" w:hAnsi="Arial"/>
          <w:b/>
          <w:bCs/>
          <w:color w:val="0B4F6C"/>
          <w:sz w:val="28"/>
          <w:szCs w:val="28"/>
        </w:rPr>
        <w:t xml:space="preserve">SECTION H — WORKED NUMERICAL EXAMPLES &amp; CROSS-POLICY RECONCILIATION</w:t>
      </w:r>
    </w:p>
    <w:p>
      <w:pPr>
        <w:spacing w:after="100" w:before="80"/>
      </w:pPr>
      <w:r>
        <w:rPr>
          <w:rFonts w:ascii="Arial" w:cs="Arial" w:eastAsia="Arial" w:hAnsi="Arial"/>
          <w:color w:val="334155"/>
          <w:sz w:val="20"/>
          <w:szCs w:val="20"/>
        </w:rPr>
        <w:t xml:space="preserve">To resolve cross-policy ambiguity, this section provides exact line-by-line financial reconciliations under two separate, explicitly documented synthetic policy contracts: Worked Example 1A (evaluating proportionate room rent deductions under Policy syn_fam_health_01) and Worked Example 1B (evaluating the exact same hospital bill under the 45-page contract synth_doc_arogya_bharat_45pp).</w:t>
      </w:r>
    </w:p>
    <w:p>
      <w:pPr>
        <w:pStyle w:val="Heading2"/>
        <w:spacing w:after="100" w:before="240"/>
      </w:pPr>
      <w:r>
        <w:rPr>
          <w:rFonts w:ascii="Arial" w:cs="Arial" w:eastAsia="Arial" w:hAnsi="Arial"/>
          <w:b/>
          <w:bCs/>
          <w:color w:val="083C53"/>
          <w:sz w:val="23"/>
          <w:szCs w:val="23"/>
        </w:rPr>
        <w:t xml:space="preserve">Worked Example 1A: Proportionate Deduction on Policy syn_fam_health_01</w:t>
      </w:r>
    </w:p>
    <w:p>
      <w:pPr>
        <w:spacing w:after="100" w:before="80"/>
      </w:pPr>
      <w:r>
        <w:rPr>
          <w:rFonts w:ascii="Arial" w:cs="Arial" w:eastAsia="Arial" w:hAnsi="Arial"/>
          <w:color w:val="334155"/>
          <w:sz w:val="20"/>
          <w:szCs w:val="20"/>
        </w:rPr>
        <w:t xml:space="preserve">Policy Contract Specification:
• Policy Identifier: syn_fam_health_01 (Version: syn_ver_base_2025_v1, Synthetic Comprehensive Health Shield)
• Sum Insured: ₹5,00,000 (5 Lakhs)
• Room Rent Daily Cap: ₹5,000 per day (Clause 3.1)
• ICU Daily Cap: ₹10,000 per day
• Proportionate Deduction Clause: Active for associated medical expenses on room rent breach
• Compulsory Deductible: ₹0
• Network Status: Non-Network (Apex City Hospital)
• Co-Payment: 10% Non-Network Co-Payment on admissible expenses
Hospital Claim Scenario: Patient admitted for Laparoscopic Cholecystectomy. Total Bill: ₹2,10,000 across 3 days in a Deluxe Room at ₹8,000/day.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708"/>
        <w:gridCol w:w="1805"/>
      </w:tblGrid>
      <w:tr>
        <w:tc>
          <w:tcPr>
            <w:tcW w:type="pct" w:w="1500"/>
            <w:shd w:fill="0B4F6C" w:val="clear"/>
          </w:tcPr>
          <w:p>
            <w:pPr>
              <w:jc w:val="center"/>
            </w:pPr>
            <w:r>
              <w:rPr>
                <w:rFonts w:ascii="Arial" w:cs="Arial" w:eastAsia="Arial" w:hAnsi="Arial"/>
                <w:b/>
                <w:bCs/>
                <w:color w:val="FFFFFF"/>
                <w:sz w:val="20"/>
                <w:szCs w:val="20"/>
              </w:rPr>
              <w:t xml:space="preserve">Line Item Description</w:t>
            </w:r>
          </w:p>
        </w:tc>
        <w:tc>
          <w:tcPr>
            <w:tcW w:type="pct" w:w="1000"/>
            <w:shd w:fill="0B4F6C" w:val="clear"/>
          </w:tcPr>
          <w:p>
            <w:pPr>
              <w:jc w:val="center"/>
            </w:pPr>
            <w:r>
              <w:rPr>
                <w:rFonts w:ascii="Arial" w:cs="Arial" w:eastAsia="Arial" w:hAnsi="Arial"/>
                <w:b/>
                <w:bCs/>
                <w:color w:val="FFFFFF"/>
                <w:sz w:val="20"/>
                <w:szCs w:val="20"/>
              </w:rPr>
              <w:t xml:space="preserve">Claimed (INR)</w:t>
            </w:r>
          </w:p>
        </w:tc>
        <w:tc>
          <w:tcPr>
            <w:tcW w:type="pct" w:w="1500"/>
            <w:shd w:fill="0B4F6C" w:val="clear"/>
          </w:tcPr>
          <w:p>
            <w:pPr>
              <w:jc w:val="center"/>
            </w:pPr>
            <w:r>
              <w:rPr>
                <w:rFonts w:ascii="Arial" w:cs="Arial" w:eastAsia="Arial" w:hAnsi="Arial"/>
                <w:b/>
                <w:bCs/>
                <w:color w:val="FFFFFF"/>
                <w:sz w:val="20"/>
                <w:szCs w:val="20"/>
              </w:rPr>
              <w:t xml:space="preserve">Adjudication Logic Applied</w:t>
            </w:r>
          </w:p>
        </w:tc>
        <w:tc>
          <w:tcPr>
            <w:tcW w:type="pct" w:w="1000"/>
            <w:shd w:fill="0B4F6C" w:val="clear"/>
          </w:tcPr>
          <w:p>
            <w:pPr>
              <w:jc w:val="center"/>
            </w:pPr>
            <w:r>
              <w:rPr>
                <w:rFonts w:ascii="Arial" w:cs="Arial" w:eastAsia="Arial" w:hAnsi="Arial"/>
                <w:b/>
                <w:bCs/>
                <w:color w:val="FFFFFF"/>
                <w:sz w:val="20"/>
                <w:szCs w:val="20"/>
              </w:rPr>
              <w:t xml:space="preserve">Insurer Payable (INR)</w:t>
            </w:r>
          </w:p>
        </w:tc>
      </w:tr>
      <w:tr>
        <w:tc>
          <w:tcPr>
            <w:tcW w:type="pct" w:w="1500"/>
            <w:shd w:fill="F8FAFC" w:val="clear"/>
          </w:tcPr>
          <w:p>
            <w:r>
              <w:rPr>
                <w:rFonts w:ascii="Arial" w:cs="Arial" w:eastAsia="Arial" w:hAnsi="Arial"/>
                <w:b w:val="false"/>
                <w:bCs w:val="false"/>
                <w:color w:val="1E293B"/>
                <w:sz w:val="19"/>
                <w:szCs w:val="19"/>
              </w:rPr>
              <w:t xml:space="preserve">Room Rent (3 days @ ₹8,000)</w:t>
            </w:r>
          </w:p>
        </w:tc>
        <w:tc>
          <w:tcPr>
            <w:tcW w:type="pct" w:w="1000"/>
            <w:shd w:fill="F8FAFC" w:val="clear"/>
          </w:tcPr>
          <w:p>
            <w:r>
              <w:rPr>
                <w:rFonts w:ascii="Consolas" w:cs="Consolas" w:eastAsia="Consolas" w:hAnsi="Consolas"/>
                <w:b w:val="false"/>
                <w:bCs w:val="false"/>
                <w:color w:val="1E293B"/>
                <w:sz w:val="19"/>
                <w:szCs w:val="19"/>
              </w:rPr>
              <w:t xml:space="preserve">₹24,000</w:t>
            </w:r>
          </w:p>
        </w:tc>
        <w:tc>
          <w:tcPr>
            <w:tcW w:type="pct" w:w="1500"/>
            <w:shd w:fill="F8FAFC" w:val="clear"/>
          </w:tcPr>
          <w:p>
            <w:r>
              <w:rPr>
                <w:rFonts w:ascii="Arial" w:cs="Arial" w:eastAsia="Arial" w:hAnsi="Arial"/>
                <w:b w:val="false"/>
                <w:bCs w:val="false"/>
                <w:color w:val="1E293B"/>
                <w:sz w:val="19"/>
                <w:szCs w:val="19"/>
              </w:rPr>
              <w:t xml:space="preserve">Capped to ₹5,000/day (Excess ₹9,000 disallowed)</w:t>
            </w:r>
          </w:p>
        </w:tc>
        <w:tc>
          <w:tcPr>
            <w:tcW w:type="pct" w:w="1000"/>
            <w:shd w:fill="F8FAFC" w:val="clear"/>
          </w:tcPr>
          <w:p>
            <w:r>
              <w:rPr>
                <w:rFonts w:ascii="Consolas" w:cs="Consolas" w:eastAsia="Consolas" w:hAnsi="Consolas"/>
                <w:b w:val="false"/>
                <w:bCs w:val="false"/>
                <w:color w:val="1E293B"/>
                <w:sz w:val="19"/>
                <w:szCs w:val="19"/>
              </w:rPr>
              <w:t xml:space="preserve">₹15,000</w:t>
            </w:r>
          </w:p>
        </w:tc>
      </w:tr>
      <w:tr>
        <w:tc>
          <w:tcPr>
            <w:tcW w:type="pct" w:w="1500"/>
            <w:shd w:fill="F8FAFC" w:val="clear"/>
          </w:tcPr>
          <w:p>
            <w:r>
              <w:rPr>
                <w:rFonts w:ascii="Arial" w:cs="Arial" w:eastAsia="Arial" w:hAnsi="Arial"/>
                <w:b w:val="false"/>
                <w:bCs w:val="false"/>
                <w:color w:val="1E293B"/>
                <w:sz w:val="19"/>
                <w:szCs w:val="19"/>
              </w:rPr>
              <w:t xml:space="preserve">Surgeon Consultation &amp; OT</w:t>
            </w:r>
          </w:p>
        </w:tc>
        <w:tc>
          <w:tcPr>
            <w:tcW w:type="pct" w:w="1000"/>
            <w:shd w:fill="F8FAFC" w:val="clear"/>
          </w:tcPr>
          <w:p>
            <w:r>
              <w:rPr>
                <w:rFonts w:ascii="Consolas" w:cs="Consolas" w:eastAsia="Consolas" w:hAnsi="Consolas"/>
                <w:b w:val="false"/>
                <w:bCs w:val="false"/>
                <w:color w:val="1E293B"/>
                <w:sz w:val="19"/>
                <w:szCs w:val="19"/>
              </w:rPr>
              <w:t xml:space="preserve">₹80,000</w:t>
            </w:r>
          </w:p>
        </w:tc>
        <w:tc>
          <w:tcPr>
            <w:tcW w:type="pct" w:w="1500"/>
            <w:shd w:fill="F8FAFC" w:val="clear"/>
          </w:tcPr>
          <w:p>
            <w:r>
              <w:rPr>
                <w:rFonts w:ascii="Arial" w:cs="Arial" w:eastAsia="Arial" w:hAnsi="Arial"/>
                <w:b w:val="false"/>
                <w:bCs w:val="false"/>
                <w:color w:val="1E293B"/>
                <w:sz w:val="19"/>
                <w:szCs w:val="19"/>
              </w:rPr>
              <w:t xml:space="preserve">Proportionate reduction (5000/8000 = 62.5% admissible, ₹30,000 excess)</w:t>
            </w:r>
          </w:p>
        </w:tc>
        <w:tc>
          <w:tcPr>
            <w:tcW w:type="pct" w:w="1000"/>
            <w:shd w:fill="F8FAFC" w:val="clear"/>
          </w:tcPr>
          <w:p>
            <w:r>
              <w:rPr>
                <w:rFonts w:ascii="Consolas" w:cs="Consolas" w:eastAsia="Consolas" w:hAnsi="Consolas"/>
                <w:b w:val="false"/>
                <w:bCs w:val="false"/>
                <w:color w:val="1E293B"/>
                <w:sz w:val="19"/>
                <w:szCs w:val="19"/>
              </w:rPr>
              <w:t xml:space="preserve">₹50,000</w:t>
            </w:r>
          </w:p>
        </w:tc>
      </w:tr>
      <w:tr>
        <w:tc>
          <w:tcPr>
            <w:tcW w:type="pct" w:w="1500"/>
            <w:shd w:fill="F8FAFC" w:val="clear"/>
          </w:tcPr>
          <w:p>
            <w:r>
              <w:rPr>
                <w:rFonts w:ascii="Arial" w:cs="Arial" w:eastAsia="Arial" w:hAnsi="Arial"/>
                <w:b w:val="false"/>
                <w:bCs w:val="false"/>
                <w:color w:val="1E293B"/>
                <w:sz w:val="19"/>
                <w:szCs w:val="19"/>
              </w:rPr>
              <w:t xml:space="preserve">Pharmacy &amp; Medications</w:t>
            </w:r>
          </w:p>
        </w:tc>
        <w:tc>
          <w:tcPr>
            <w:tcW w:type="pct" w:w="1000"/>
            <w:shd w:fill="F8FAFC" w:val="clear"/>
          </w:tcPr>
          <w:p>
            <w:r>
              <w:rPr>
                <w:rFonts w:ascii="Consolas" w:cs="Consolas" w:eastAsia="Consolas" w:hAnsi="Consolas"/>
                <w:b w:val="false"/>
                <w:bCs w:val="false"/>
                <w:color w:val="1E293B"/>
                <w:sz w:val="19"/>
                <w:szCs w:val="19"/>
              </w:rPr>
              <w:t xml:space="preserve">₹40,000</w:t>
            </w:r>
          </w:p>
        </w:tc>
        <w:tc>
          <w:tcPr>
            <w:tcW w:type="pct" w:w="1500"/>
            <w:shd w:fill="F8FAFC" w:val="clear"/>
          </w:tcPr>
          <w:p>
            <w:r>
              <w:rPr>
                <w:rFonts w:ascii="Arial" w:cs="Arial" w:eastAsia="Arial" w:hAnsi="Arial"/>
                <w:b w:val="false"/>
                <w:bCs w:val="false"/>
                <w:color w:val="1E293B"/>
                <w:sz w:val="19"/>
                <w:szCs w:val="19"/>
              </w:rPr>
              <w:t xml:space="preserve">Medicines exempt from proportionate reduction</w:t>
            </w:r>
          </w:p>
        </w:tc>
        <w:tc>
          <w:tcPr>
            <w:tcW w:type="pct" w:w="1000"/>
            <w:shd w:fill="F8FAFC" w:val="clear"/>
          </w:tcPr>
          <w:p>
            <w:r>
              <w:rPr>
                <w:rFonts w:ascii="Consolas" w:cs="Consolas" w:eastAsia="Consolas" w:hAnsi="Consolas"/>
                <w:b w:val="false"/>
                <w:bCs w:val="false"/>
                <w:color w:val="1E293B"/>
                <w:sz w:val="19"/>
                <w:szCs w:val="19"/>
              </w:rPr>
              <w:t xml:space="preserve">₹40,000</w:t>
            </w:r>
          </w:p>
        </w:tc>
      </w:tr>
      <w:tr>
        <w:tc>
          <w:tcPr>
            <w:tcW w:type="pct" w:w="1500"/>
            <w:shd w:fill="F8FAFC" w:val="clear"/>
          </w:tcPr>
          <w:p>
            <w:r>
              <w:rPr>
                <w:rFonts w:ascii="Arial" w:cs="Arial" w:eastAsia="Arial" w:hAnsi="Arial"/>
                <w:b w:val="false"/>
                <w:bCs w:val="false"/>
                <w:color w:val="1E293B"/>
                <w:sz w:val="19"/>
                <w:szCs w:val="19"/>
              </w:rPr>
              <w:t xml:space="preserve">Consumables &amp; PPE Kit</w:t>
            </w:r>
          </w:p>
        </w:tc>
        <w:tc>
          <w:tcPr>
            <w:tcW w:type="pct" w:w="1000"/>
            <w:shd w:fill="F8FAFC" w:val="clear"/>
          </w:tcPr>
          <w:p>
            <w:r>
              <w:rPr>
                <w:rFonts w:ascii="Consolas" w:cs="Consolas" w:eastAsia="Consolas" w:hAnsi="Consolas"/>
                <w:b w:val="false"/>
                <w:bCs w:val="false"/>
                <w:color w:val="1E293B"/>
                <w:sz w:val="19"/>
                <w:szCs w:val="19"/>
              </w:rPr>
              <w:t xml:space="preserve">₹16,000</w:t>
            </w:r>
          </w:p>
        </w:tc>
        <w:tc>
          <w:tcPr>
            <w:tcW w:type="pct" w:w="1500"/>
            <w:shd w:fill="F8FAFC" w:val="clear"/>
          </w:tcPr>
          <w:p>
            <w:r>
              <w:rPr>
                <w:rFonts w:ascii="Arial" w:cs="Arial" w:eastAsia="Arial" w:hAnsi="Arial"/>
                <w:b w:val="false"/>
                <w:bCs w:val="false"/>
                <w:color w:val="1E293B"/>
                <w:sz w:val="19"/>
                <w:szCs w:val="19"/>
              </w:rPr>
              <w:t xml:space="preserve">Statutory non-payable (IRDAI Schedule I)</w:t>
            </w:r>
          </w:p>
        </w:tc>
        <w:tc>
          <w:tcPr>
            <w:tcW w:type="pct" w:w="1000"/>
            <w:shd w:fill="F8FAFC" w:val="clear"/>
          </w:tcPr>
          <w:p>
            <w:r>
              <w:rPr>
                <w:rFonts w:ascii="Consolas" w:cs="Consolas" w:eastAsia="Consolas" w:hAnsi="Consolas"/>
                <w:b w:val="false"/>
                <w:bCs w:val="false"/>
                <w:color w:val="1E293B"/>
                <w:sz w:val="19"/>
                <w:szCs w:val="19"/>
              </w:rPr>
              <w:t xml:space="preserve">₹0 (Disallowed)</w:t>
            </w:r>
          </w:p>
        </w:tc>
      </w:tr>
      <w:tr>
        <w:tc>
          <w:tcPr>
            <w:tcW w:type="pct" w:w="1500"/>
            <w:shd w:fill="F8FAFC" w:val="clear"/>
          </w:tcPr>
          <w:p>
            <w:r>
              <w:rPr>
                <w:rFonts w:ascii="Arial" w:cs="Arial" w:eastAsia="Arial" w:hAnsi="Arial"/>
                <w:b w:val="false"/>
                <w:bCs w:val="false"/>
                <w:color w:val="1E293B"/>
                <w:sz w:val="19"/>
                <w:szCs w:val="19"/>
              </w:rPr>
              <w:t xml:space="preserve">Diagnostics &amp; Investigations</w:t>
            </w:r>
          </w:p>
        </w:tc>
        <w:tc>
          <w:tcPr>
            <w:tcW w:type="pct" w:w="1000"/>
            <w:shd w:fill="F8FAFC" w:val="clear"/>
          </w:tcPr>
          <w:p>
            <w:r>
              <w:rPr>
                <w:rFonts w:ascii="Consolas" w:cs="Consolas" w:eastAsia="Consolas" w:hAnsi="Consolas"/>
                <w:b w:val="false"/>
                <w:bCs w:val="false"/>
                <w:color w:val="1E293B"/>
                <w:sz w:val="19"/>
                <w:szCs w:val="19"/>
              </w:rPr>
              <w:t xml:space="preserve">₹50,000</w:t>
            </w:r>
          </w:p>
        </w:tc>
        <w:tc>
          <w:tcPr>
            <w:tcW w:type="pct" w:w="1500"/>
            <w:shd w:fill="F8FAFC" w:val="clear"/>
          </w:tcPr>
          <w:p>
            <w:r>
              <w:rPr>
                <w:rFonts w:ascii="Arial" w:cs="Arial" w:eastAsia="Arial" w:hAnsi="Arial"/>
                <w:b w:val="false"/>
                <w:bCs w:val="false"/>
                <w:color w:val="1E293B"/>
                <w:sz w:val="19"/>
                <w:szCs w:val="19"/>
              </w:rPr>
              <w:t xml:space="preserve">Exempt from proportionate reduction (IRDAI Master Circular &amp; Cl. 2.3)</w:t>
            </w:r>
          </w:p>
        </w:tc>
        <w:tc>
          <w:tcPr>
            <w:tcW w:type="pct" w:w="1000"/>
            <w:shd w:fill="F8FAFC" w:val="clear"/>
          </w:tcPr>
          <w:p>
            <w:r>
              <w:rPr>
                <w:rFonts w:ascii="Consolas" w:cs="Consolas" w:eastAsia="Consolas" w:hAnsi="Consolas"/>
                <w:b w:val="false"/>
                <w:bCs w:val="false"/>
                <w:color w:val="1E293B"/>
                <w:sz w:val="19"/>
                <w:szCs w:val="19"/>
              </w:rPr>
              <w:t xml:space="preserve">₹50,000</w:t>
            </w:r>
          </w:p>
        </w:tc>
      </w:tr>
      <w:tr>
        <w:tc>
          <w:tcPr>
            <w:tcW w:type="pct" w:w="1500"/>
            <w:shd w:fill="F8FAFC" w:val="clear"/>
          </w:tcPr>
          <w:p>
            <w:r>
              <w:rPr>
                <w:rFonts w:ascii="Arial" w:cs="Arial" w:eastAsia="Arial" w:hAnsi="Arial"/>
                <w:b/>
                <w:bCs/>
                <w:color w:val="1E293B"/>
                <w:sz w:val="19"/>
                <w:szCs w:val="19"/>
              </w:rPr>
              <w:t xml:space="preserve">TOTAL ADMISSIBLE BEFORE CO-PAY</w:t>
            </w:r>
          </w:p>
        </w:tc>
        <w:tc>
          <w:tcPr>
            <w:tcW w:type="pct" w:w="1000"/>
            <w:shd w:fill="F8FAFC" w:val="clear"/>
          </w:tcPr>
          <w:p>
            <w:r>
              <w:rPr>
                <w:rFonts w:ascii="Consolas" w:cs="Consolas" w:eastAsia="Consolas" w:hAnsi="Consolas"/>
                <w:b/>
                <w:bCs/>
                <w:color w:val="1E293B"/>
                <w:sz w:val="19"/>
                <w:szCs w:val="19"/>
              </w:rPr>
              <w:t xml:space="preserve">₹2,10,000</w:t>
            </w:r>
          </w:p>
        </w:tc>
        <w:tc>
          <w:tcPr>
            <w:tcW w:type="pct" w:w="1500"/>
            <w:shd w:fill="F8FAFC" w:val="clear"/>
          </w:tcPr>
          <w:p>
            <w:r>
              <w:rPr>
                <w:rFonts w:ascii="Arial" w:cs="Arial" w:eastAsia="Arial" w:hAnsi="Arial"/>
                <w:b/>
                <w:bCs/>
                <w:color w:val="1E293B"/>
                <w:sz w:val="19"/>
                <w:szCs w:val="19"/>
              </w:rPr>
              <w:t xml:space="preserve">Admissible sum: ₹15k + ₹50k + ₹40k + ₹50k</w:t>
            </w:r>
          </w:p>
        </w:tc>
        <w:tc>
          <w:tcPr>
            <w:tcW w:type="pct" w:w="1000"/>
            <w:shd w:fill="F8FAFC" w:val="clear"/>
          </w:tcPr>
          <w:p>
            <w:r>
              <w:rPr>
                <w:rFonts w:ascii="Consolas" w:cs="Consolas" w:eastAsia="Consolas" w:hAnsi="Consolas"/>
                <w:b/>
                <w:bCs/>
                <w:color w:val="1E293B"/>
                <w:sz w:val="19"/>
                <w:szCs w:val="19"/>
              </w:rPr>
              <w:t xml:space="preserve">₹1,55,000</w:t>
            </w:r>
          </w:p>
        </w:tc>
      </w:tr>
      <w:tr>
        <w:tc>
          <w:tcPr>
            <w:tcW w:type="pct" w:w="1500"/>
            <w:shd w:fill="F8FAFC" w:val="clear"/>
          </w:tcPr>
          <w:p>
            <w:r>
              <w:rPr>
                <w:rFonts w:ascii="Arial" w:cs="Arial" w:eastAsia="Arial" w:hAnsi="Arial"/>
                <w:b/>
                <w:bCs/>
                <w:color w:val="1E293B"/>
                <w:sz w:val="19"/>
                <w:szCs w:val="19"/>
              </w:rPr>
              <w:t xml:space="preserve">10% NON-NETWORK CO-PAYMENT</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10% of ₹1,55,000 deducted (Patient responsibility)</w:t>
            </w:r>
          </w:p>
        </w:tc>
        <w:tc>
          <w:tcPr>
            <w:tcW w:type="pct" w:w="1000"/>
            <w:shd w:fill="F8FAFC" w:val="clear"/>
          </w:tcPr>
          <w:p>
            <w:r>
              <w:rPr>
                <w:rFonts w:ascii="Consolas" w:cs="Consolas" w:eastAsia="Consolas" w:hAnsi="Consolas"/>
                <w:b w:val="false"/>
                <w:bCs w:val="false"/>
                <w:color w:val="1E293B"/>
                <w:sz w:val="19"/>
                <w:szCs w:val="19"/>
              </w:rPr>
              <w:t xml:space="preserve">-₹15,500</w:t>
            </w:r>
          </w:p>
        </w:tc>
      </w:tr>
      <w:tr>
        <w:tc>
          <w:tcPr>
            <w:tcW w:type="pct" w:w="1500"/>
            <w:shd w:fill="F8FAFC" w:val="clear"/>
          </w:tcPr>
          <w:p>
            <w:r>
              <w:rPr>
                <w:rFonts w:ascii="Arial" w:cs="Arial" w:eastAsia="Arial" w:hAnsi="Arial"/>
                <w:b/>
                <w:bCs/>
                <w:color w:val="1E293B"/>
                <w:sz w:val="19"/>
                <w:szCs w:val="19"/>
              </w:rPr>
              <w:t xml:space="preserve">FINAL INSURER SETTLEMENT</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Admissible post-copay</w:t>
            </w:r>
          </w:p>
        </w:tc>
        <w:tc>
          <w:tcPr>
            <w:tcW w:type="pct" w:w="1000"/>
            <w:shd w:fill="F8FAFC" w:val="clear"/>
          </w:tcPr>
          <w:p>
            <w:r>
              <w:rPr>
                <w:rFonts w:ascii="Consolas" w:cs="Consolas" w:eastAsia="Consolas" w:hAnsi="Consolas"/>
                <w:b/>
                <w:bCs/>
                <w:color w:val="1E293B"/>
                <w:sz w:val="19"/>
                <w:szCs w:val="19"/>
              </w:rPr>
              <w:t xml:space="preserve">₹1,39,500</w:t>
            </w:r>
          </w:p>
        </w:tc>
      </w:tr>
      <w:tr>
        <w:tc>
          <w:tcPr>
            <w:tcW w:type="pct" w:w="1500"/>
            <w:shd w:fill="F8FAFC" w:val="clear"/>
          </w:tcPr>
          <w:p>
            <w:r>
              <w:rPr>
                <w:rFonts w:ascii="Arial" w:cs="Arial" w:eastAsia="Arial" w:hAnsi="Arial"/>
                <w:b/>
                <w:bCs/>
                <w:color w:val="1E293B"/>
                <w:sz w:val="19"/>
                <w:szCs w:val="19"/>
              </w:rPr>
              <w:t xml:space="preserve">PATIENT OUT-OF-POCKET EXPENSE</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Disallowances (₹55,000) + Co-Pay (₹15,500)</w:t>
            </w:r>
          </w:p>
        </w:tc>
        <w:tc>
          <w:tcPr>
            <w:tcW w:type="pct" w:w="1000"/>
            <w:shd w:fill="F8FAFC" w:val="clear"/>
          </w:tcPr>
          <w:p>
            <w:r>
              <w:rPr>
                <w:rFonts w:ascii="Consolas" w:cs="Consolas" w:eastAsia="Consolas" w:hAnsi="Consolas"/>
                <w:b/>
                <w:bCs/>
                <w:color w:val="1E293B"/>
                <w:sz w:val="19"/>
                <w:szCs w:val="19"/>
              </w:rPr>
              <w:t xml:space="preserve">₹70,500</w:t>
            </w:r>
          </w:p>
        </w:tc>
      </w:tr>
    </w:tbl>
    <w:p>
      <w:pPr>
        <w:spacing w:after="100" w:before="80"/>
      </w:pPr>
      <w:r>
        <w:rPr>
          <w:rFonts w:ascii="Arial" w:cs="Arial" w:eastAsia="Arial" w:hAnsi="Arial"/>
          <w:color w:val="334155"/>
          <w:sz w:val="20"/>
          <w:szCs w:val="20"/>
        </w:rPr>
        <w:t xml:space="preserve">Reconciliation Invariant Check (Example 1A): Insurer Payable (₹1,39,500) + Patient Out-of-Pocket (₹70,500) = Total Claimed Bill (₹2,10,000). Discrepancy: ₹0.00.</w:t>
      </w:r>
    </w:p>
    <w:p>
      <w:pPr>
        <w:pStyle w:val="Heading2"/>
        <w:spacing w:after="100" w:before="240"/>
      </w:pPr>
      <w:r>
        <w:rPr>
          <w:rFonts w:ascii="Arial" w:cs="Arial" w:eastAsia="Arial" w:hAnsi="Arial"/>
          <w:b/>
          <w:bCs/>
          <w:color w:val="083C53"/>
          <w:sz w:val="23"/>
          <w:szCs w:val="23"/>
        </w:rPr>
        <w:t xml:space="preserve">Worked Example 1B: Same Claim Adjudicated on 45-Page Contract synth_doc_arogya_bharat_45pp</w:t>
      </w:r>
    </w:p>
    <w:p>
      <w:pPr>
        <w:spacing w:after="100" w:before="80"/>
      </w:pPr>
      <w:r>
        <w:rPr>
          <w:rFonts w:ascii="Arial" w:cs="Arial" w:eastAsia="Arial" w:hAnsi="Arial"/>
          <w:color w:val="334155"/>
          <w:sz w:val="20"/>
          <w:szCs w:val="20"/>
        </w:rPr>
        <w:t xml:space="preserve">Policy Contract Specification:
• Policy Identifier: synth_doc_arogya_bharat_45pp (Arogya Bharat Comprehensive Health Assurance Policy, 45 Pages)
• Sum Insured: ₹10,00,000 (10 Lakhs, Schedule S.3, Page 2)
• Room Rent Daily Cap: 1% of Sum Insured = ₹10,000 per day (Clause 2.1, Page 7)
• ICU Daily Cap: 2% of Sum Insured = ₹20,000 per day (Clause 2.2, Page 8)
• Proportionate Deduction Clause: Clause 2.3, Page 9
• Compulsory Deductible: ₹25,000 per hospitalization (Schedule S.3, Page 2)
• Network Status: Non-Network (Apex City Hospital)
• Co-Payment: 20% Non-Network Co-Payment (Clause 10.2, Page 39)
Key Contractual Determinism: Under this 45-page fixture, the billed room rent of ₹8,000/day is LESS than the entitled limit of ₹10,000/day. Consequently, NO ROOM RENT BREACH OCCURS, and NO PROPORTIONATE DEDUCTION is triggered on surgeon fees. Instead, the claim is governed by the ₹25,000 compulsory deductible and 20% non-network co-payment.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708"/>
        <w:gridCol w:w="1805"/>
      </w:tblGrid>
      <w:tr>
        <w:tc>
          <w:tcPr>
            <w:tcW w:type="pct" w:w="1500"/>
            <w:shd w:fill="0B4F6C" w:val="clear"/>
          </w:tcPr>
          <w:p>
            <w:pPr>
              <w:jc w:val="center"/>
            </w:pPr>
            <w:r>
              <w:rPr>
                <w:rFonts w:ascii="Arial" w:cs="Arial" w:eastAsia="Arial" w:hAnsi="Arial"/>
                <w:b/>
                <w:bCs/>
                <w:color w:val="FFFFFF"/>
                <w:sz w:val="20"/>
                <w:szCs w:val="20"/>
              </w:rPr>
              <w:t xml:space="preserve">Line Item Description</w:t>
            </w:r>
          </w:p>
        </w:tc>
        <w:tc>
          <w:tcPr>
            <w:tcW w:type="pct" w:w="1000"/>
            <w:shd w:fill="0B4F6C" w:val="clear"/>
          </w:tcPr>
          <w:p>
            <w:pPr>
              <w:jc w:val="center"/>
            </w:pPr>
            <w:r>
              <w:rPr>
                <w:rFonts w:ascii="Arial" w:cs="Arial" w:eastAsia="Arial" w:hAnsi="Arial"/>
                <w:b/>
                <w:bCs/>
                <w:color w:val="FFFFFF"/>
                <w:sz w:val="20"/>
                <w:szCs w:val="20"/>
              </w:rPr>
              <w:t xml:space="preserve">Claimed (INR)</w:t>
            </w:r>
          </w:p>
        </w:tc>
        <w:tc>
          <w:tcPr>
            <w:tcW w:type="pct" w:w="1500"/>
            <w:shd w:fill="0B4F6C" w:val="clear"/>
          </w:tcPr>
          <w:p>
            <w:pPr>
              <w:jc w:val="center"/>
            </w:pPr>
            <w:r>
              <w:rPr>
                <w:rFonts w:ascii="Arial" w:cs="Arial" w:eastAsia="Arial" w:hAnsi="Arial"/>
                <w:b/>
                <w:bCs/>
                <w:color w:val="FFFFFF"/>
                <w:sz w:val="20"/>
                <w:szCs w:val="20"/>
              </w:rPr>
              <w:t xml:space="preserve">Adjudication Logic Applied</w:t>
            </w:r>
          </w:p>
        </w:tc>
        <w:tc>
          <w:tcPr>
            <w:tcW w:type="pct" w:w="1000"/>
            <w:shd w:fill="0B4F6C" w:val="clear"/>
          </w:tcPr>
          <w:p>
            <w:pPr>
              <w:jc w:val="center"/>
            </w:pPr>
            <w:r>
              <w:rPr>
                <w:rFonts w:ascii="Arial" w:cs="Arial" w:eastAsia="Arial" w:hAnsi="Arial"/>
                <w:b/>
                <w:bCs/>
                <w:color w:val="FFFFFF"/>
                <w:sz w:val="20"/>
                <w:szCs w:val="20"/>
              </w:rPr>
              <w:t xml:space="preserve">Insurer Payable (INR)</w:t>
            </w:r>
          </w:p>
        </w:tc>
      </w:tr>
      <w:tr>
        <w:tc>
          <w:tcPr>
            <w:tcW w:type="pct" w:w="1500"/>
            <w:shd w:fill="F8FAFC" w:val="clear"/>
          </w:tcPr>
          <w:p>
            <w:r>
              <w:rPr>
                <w:rFonts w:ascii="Arial" w:cs="Arial" w:eastAsia="Arial" w:hAnsi="Arial"/>
                <w:b w:val="false"/>
                <w:bCs w:val="false"/>
                <w:color w:val="1E293B"/>
                <w:sz w:val="19"/>
                <w:szCs w:val="19"/>
              </w:rPr>
              <w:t xml:space="preserve">Room Rent (3 days @ ₹8,000)</w:t>
            </w:r>
          </w:p>
        </w:tc>
        <w:tc>
          <w:tcPr>
            <w:tcW w:type="pct" w:w="1000"/>
            <w:shd w:fill="F8FAFC" w:val="clear"/>
          </w:tcPr>
          <w:p>
            <w:r>
              <w:rPr>
                <w:rFonts w:ascii="Consolas" w:cs="Consolas" w:eastAsia="Consolas" w:hAnsi="Consolas"/>
                <w:b w:val="false"/>
                <w:bCs w:val="false"/>
                <w:color w:val="1E293B"/>
                <w:sz w:val="19"/>
                <w:szCs w:val="19"/>
              </w:rPr>
              <w:t xml:space="preserve">₹24,000</w:t>
            </w:r>
          </w:p>
        </w:tc>
        <w:tc>
          <w:tcPr>
            <w:tcW w:type="pct" w:w="1500"/>
            <w:shd w:fill="F8FAFC" w:val="clear"/>
          </w:tcPr>
          <w:p>
            <w:r>
              <w:rPr>
                <w:rFonts w:ascii="Arial" w:cs="Arial" w:eastAsia="Arial" w:hAnsi="Arial"/>
                <w:b w:val="false"/>
                <w:bCs w:val="false"/>
                <w:color w:val="1E293B"/>
                <w:sz w:val="19"/>
                <w:szCs w:val="19"/>
              </w:rPr>
              <w:t xml:space="preserve">Within entitlement (₹8,000 ≤ ₹10,000/day; ₹0 disallowed)</w:t>
            </w:r>
          </w:p>
        </w:tc>
        <w:tc>
          <w:tcPr>
            <w:tcW w:type="pct" w:w="1000"/>
            <w:shd w:fill="F8FAFC" w:val="clear"/>
          </w:tcPr>
          <w:p>
            <w:r>
              <w:rPr>
                <w:rFonts w:ascii="Consolas" w:cs="Consolas" w:eastAsia="Consolas" w:hAnsi="Consolas"/>
                <w:b w:val="false"/>
                <w:bCs w:val="false"/>
                <w:color w:val="1E293B"/>
                <w:sz w:val="19"/>
                <w:szCs w:val="19"/>
              </w:rPr>
              <w:t xml:space="preserve">₹24,000</w:t>
            </w:r>
          </w:p>
        </w:tc>
      </w:tr>
      <w:tr>
        <w:tc>
          <w:tcPr>
            <w:tcW w:type="pct" w:w="1500"/>
            <w:shd w:fill="F8FAFC" w:val="clear"/>
          </w:tcPr>
          <w:p>
            <w:r>
              <w:rPr>
                <w:rFonts w:ascii="Arial" w:cs="Arial" w:eastAsia="Arial" w:hAnsi="Arial"/>
                <w:b w:val="false"/>
                <w:bCs w:val="false"/>
                <w:color w:val="1E293B"/>
                <w:sz w:val="19"/>
                <w:szCs w:val="19"/>
              </w:rPr>
              <w:t xml:space="preserve">Surgeon Consultation &amp; OT</w:t>
            </w:r>
          </w:p>
        </w:tc>
        <w:tc>
          <w:tcPr>
            <w:tcW w:type="pct" w:w="1000"/>
            <w:shd w:fill="F8FAFC" w:val="clear"/>
          </w:tcPr>
          <w:p>
            <w:r>
              <w:rPr>
                <w:rFonts w:ascii="Consolas" w:cs="Consolas" w:eastAsia="Consolas" w:hAnsi="Consolas"/>
                <w:b w:val="false"/>
                <w:bCs w:val="false"/>
                <w:color w:val="1E293B"/>
                <w:sz w:val="19"/>
                <w:szCs w:val="19"/>
              </w:rPr>
              <w:t xml:space="preserve">₹80,000</w:t>
            </w:r>
          </w:p>
        </w:tc>
        <w:tc>
          <w:tcPr>
            <w:tcW w:type="pct" w:w="1500"/>
            <w:shd w:fill="F8FAFC" w:val="clear"/>
          </w:tcPr>
          <w:p>
            <w:r>
              <w:rPr>
                <w:rFonts w:ascii="Arial" w:cs="Arial" w:eastAsia="Arial" w:hAnsi="Arial"/>
                <w:b w:val="false"/>
                <w:bCs w:val="false"/>
                <w:color w:val="1E293B"/>
                <w:sz w:val="19"/>
                <w:szCs w:val="19"/>
              </w:rPr>
              <w:t xml:space="preserve">No room breach; 100% admissible (₹0 proportionate deduction)</w:t>
            </w:r>
          </w:p>
        </w:tc>
        <w:tc>
          <w:tcPr>
            <w:tcW w:type="pct" w:w="1000"/>
            <w:shd w:fill="F8FAFC" w:val="clear"/>
          </w:tcPr>
          <w:p>
            <w:r>
              <w:rPr>
                <w:rFonts w:ascii="Consolas" w:cs="Consolas" w:eastAsia="Consolas" w:hAnsi="Consolas"/>
                <w:b w:val="false"/>
                <w:bCs w:val="false"/>
                <w:color w:val="1E293B"/>
                <w:sz w:val="19"/>
                <w:szCs w:val="19"/>
              </w:rPr>
              <w:t xml:space="preserve">₹80,000</w:t>
            </w:r>
          </w:p>
        </w:tc>
      </w:tr>
      <w:tr>
        <w:tc>
          <w:tcPr>
            <w:tcW w:type="pct" w:w="1500"/>
            <w:shd w:fill="F8FAFC" w:val="clear"/>
          </w:tcPr>
          <w:p>
            <w:r>
              <w:rPr>
                <w:rFonts w:ascii="Arial" w:cs="Arial" w:eastAsia="Arial" w:hAnsi="Arial"/>
                <w:b w:val="false"/>
                <w:bCs w:val="false"/>
                <w:color w:val="1E293B"/>
                <w:sz w:val="19"/>
                <w:szCs w:val="19"/>
              </w:rPr>
              <w:t xml:space="preserve">Pharmacy &amp; Medications</w:t>
            </w:r>
          </w:p>
        </w:tc>
        <w:tc>
          <w:tcPr>
            <w:tcW w:type="pct" w:w="1000"/>
            <w:shd w:fill="F8FAFC" w:val="clear"/>
          </w:tcPr>
          <w:p>
            <w:r>
              <w:rPr>
                <w:rFonts w:ascii="Consolas" w:cs="Consolas" w:eastAsia="Consolas" w:hAnsi="Consolas"/>
                <w:b w:val="false"/>
                <w:bCs w:val="false"/>
                <w:color w:val="1E293B"/>
                <w:sz w:val="19"/>
                <w:szCs w:val="19"/>
              </w:rPr>
              <w:t xml:space="preserve">₹40,000</w:t>
            </w:r>
          </w:p>
        </w:tc>
        <w:tc>
          <w:tcPr>
            <w:tcW w:type="pct" w:w="1500"/>
            <w:shd w:fill="F8FAFC" w:val="clear"/>
          </w:tcPr>
          <w:p>
            <w:r>
              <w:rPr>
                <w:rFonts w:ascii="Arial" w:cs="Arial" w:eastAsia="Arial" w:hAnsi="Arial"/>
                <w:b w:val="false"/>
                <w:bCs w:val="false"/>
                <w:color w:val="1E293B"/>
                <w:sz w:val="19"/>
                <w:szCs w:val="19"/>
              </w:rPr>
              <w:t xml:space="preserve">100% admissible inpatient medication</w:t>
            </w:r>
          </w:p>
        </w:tc>
        <w:tc>
          <w:tcPr>
            <w:tcW w:type="pct" w:w="1000"/>
            <w:shd w:fill="F8FAFC" w:val="clear"/>
          </w:tcPr>
          <w:p>
            <w:r>
              <w:rPr>
                <w:rFonts w:ascii="Consolas" w:cs="Consolas" w:eastAsia="Consolas" w:hAnsi="Consolas"/>
                <w:b w:val="false"/>
                <w:bCs w:val="false"/>
                <w:color w:val="1E293B"/>
                <w:sz w:val="19"/>
                <w:szCs w:val="19"/>
              </w:rPr>
              <w:t xml:space="preserve">₹40,000</w:t>
            </w:r>
          </w:p>
        </w:tc>
      </w:tr>
      <w:tr>
        <w:tc>
          <w:tcPr>
            <w:tcW w:type="pct" w:w="1500"/>
            <w:shd w:fill="F8FAFC" w:val="clear"/>
          </w:tcPr>
          <w:p>
            <w:r>
              <w:rPr>
                <w:rFonts w:ascii="Arial" w:cs="Arial" w:eastAsia="Arial" w:hAnsi="Arial"/>
                <w:b w:val="false"/>
                <w:bCs w:val="false"/>
                <w:color w:val="1E293B"/>
                <w:sz w:val="19"/>
                <w:szCs w:val="19"/>
              </w:rPr>
              <w:t xml:space="preserve">Consumables &amp; PPE Kit</w:t>
            </w:r>
          </w:p>
        </w:tc>
        <w:tc>
          <w:tcPr>
            <w:tcW w:type="pct" w:w="1000"/>
            <w:shd w:fill="F8FAFC" w:val="clear"/>
          </w:tcPr>
          <w:p>
            <w:r>
              <w:rPr>
                <w:rFonts w:ascii="Consolas" w:cs="Consolas" w:eastAsia="Consolas" w:hAnsi="Consolas"/>
                <w:b w:val="false"/>
                <w:bCs w:val="false"/>
                <w:color w:val="1E293B"/>
                <w:sz w:val="19"/>
                <w:szCs w:val="19"/>
              </w:rPr>
              <w:t xml:space="preserve">₹16,000</w:t>
            </w:r>
          </w:p>
        </w:tc>
        <w:tc>
          <w:tcPr>
            <w:tcW w:type="pct" w:w="1500"/>
            <w:shd w:fill="F8FAFC" w:val="clear"/>
          </w:tcPr>
          <w:p>
            <w:r>
              <w:rPr>
                <w:rFonts w:ascii="Arial" w:cs="Arial" w:eastAsia="Arial" w:hAnsi="Arial"/>
                <w:b w:val="false"/>
                <w:bCs w:val="false"/>
                <w:color w:val="1E293B"/>
                <w:sz w:val="19"/>
                <w:szCs w:val="19"/>
              </w:rPr>
              <w:t xml:space="preserve">Statutory non-payable (IRDAI Schedule I)</w:t>
            </w:r>
          </w:p>
        </w:tc>
        <w:tc>
          <w:tcPr>
            <w:tcW w:type="pct" w:w="1000"/>
            <w:shd w:fill="F8FAFC" w:val="clear"/>
          </w:tcPr>
          <w:p>
            <w:r>
              <w:rPr>
                <w:rFonts w:ascii="Consolas" w:cs="Consolas" w:eastAsia="Consolas" w:hAnsi="Consolas"/>
                <w:b w:val="false"/>
                <w:bCs w:val="false"/>
                <w:color w:val="1E293B"/>
                <w:sz w:val="19"/>
                <w:szCs w:val="19"/>
              </w:rPr>
              <w:t xml:space="preserve">₹0 (Disallowed)</w:t>
            </w:r>
          </w:p>
        </w:tc>
      </w:tr>
      <w:tr>
        <w:tc>
          <w:tcPr>
            <w:tcW w:type="pct" w:w="1500"/>
            <w:shd w:fill="F8FAFC" w:val="clear"/>
          </w:tcPr>
          <w:p>
            <w:r>
              <w:rPr>
                <w:rFonts w:ascii="Arial" w:cs="Arial" w:eastAsia="Arial" w:hAnsi="Arial"/>
                <w:b w:val="false"/>
                <w:bCs w:val="false"/>
                <w:color w:val="1E293B"/>
                <w:sz w:val="19"/>
                <w:szCs w:val="19"/>
              </w:rPr>
              <w:t xml:space="preserve">Diagnostics &amp; Investigations</w:t>
            </w:r>
          </w:p>
        </w:tc>
        <w:tc>
          <w:tcPr>
            <w:tcW w:type="pct" w:w="1000"/>
            <w:shd w:fill="F8FAFC" w:val="clear"/>
          </w:tcPr>
          <w:p>
            <w:r>
              <w:rPr>
                <w:rFonts w:ascii="Consolas" w:cs="Consolas" w:eastAsia="Consolas" w:hAnsi="Consolas"/>
                <w:b w:val="false"/>
                <w:bCs w:val="false"/>
                <w:color w:val="1E293B"/>
                <w:sz w:val="19"/>
                <w:szCs w:val="19"/>
              </w:rPr>
              <w:t xml:space="preserve">₹50,000</w:t>
            </w:r>
          </w:p>
        </w:tc>
        <w:tc>
          <w:tcPr>
            <w:tcW w:type="pct" w:w="1500"/>
            <w:shd w:fill="F8FAFC" w:val="clear"/>
          </w:tcPr>
          <w:p>
            <w:r>
              <w:rPr>
                <w:rFonts w:ascii="Arial" w:cs="Arial" w:eastAsia="Arial" w:hAnsi="Arial"/>
                <w:b w:val="false"/>
                <w:bCs w:val="false"/>
                <w:color w:val="1E293B"/>
                <w:sz w:val="19"/>
                <w:szCs w:val="19"/>
              </w:rPr>
              <w:t xml:space="preserve">100% admissible inpatient diagnostics</w:t>
            </w:r>
          </w:p>
        </w:tc>
        <w:tc>
          <w:tcPr>
            <w:tcW w:type="pct" w:w="1000"/>
            <w:shd w:fill="F8FAFC" w:val="clear"/>
          </w:tcPr>
          <w:p>
            <w:r>
              <w:rPr>
                <w:rFonts w:ascii="Consolas" w:cs="Consolas" w:eastAsia="Consolas" w:hAnsi="Consolas"/>
                <w:b w:val="false"/>
                <w:bCs w:val="false"/>
                <w:color w:val="1E293B"/>
                <w:sz w:val="19"/>
                <w:szCs w:val="19"/>
              </w:rPr>
              <w:t xml:space="preserve">₹50,000</w:t>
            </w:r>
          </w:p>
        </w:tc>
      </w:tr>
      <w:tr>
        <w:tc>
          <w:tcPr>
            <w:tcW w:type="pct" w:w="1500"/>
            <w:shd w:fill="F8FAFC" w:val="clear"/>
          </w:tcPr>
          <w:p>
            <w:r>
              <w:rPr>
                <w:rFonts w:ascii="Arial" w:cs="Arial" w:eastAsia="Arial" w:hAnsi="Arial"/>
                <w:b/>
                <w:bCs/>
                <w:color w:val="1E293B"/>
                <w:sz w:val="19"/>
                <w:szCs w:val="19"/>
              </w:rPr>
              <w:t xml:space="preserve">TOTAL ADMISSIBLE BEFORE DEDUCTIBLE</w:t>
            </w:r>
          </w:p>
        </w:tc>
        <w:tc>
          <w:tcPr>
            <w:tcW w:type="pct" w:w="1000"/>
            <w:shd w:fill="F8FAFC" w:val="clear"/>
          </w:tcPr>
          <w:p>
            <w:r>
              <w:rPr>
                <w:rFonts w:ascii="Consolas" w:cs="Consolas" w:eastAsia="Consolas" w:hAnsi="Consolas"/>
                <w:b/>
                <w:bCs/>
                <w:color w:val="1E293B"/>
                <w:sz w:val="19"/>
                <w:szCs w:val="19"/>
              </w:rPr>
              <w:t xml:space="preserve">₹2,10,000</w:t>
            </w:r>
          </w:p>
        </w:tc>
        <w:tc>
          <w:tcPr>
            <w:tcW w:type="pct" w:w="1500"/>
            <w:shd w:fill="F8FAFC" w:val="clear"/>
          </w:tcPr>
          <w:p>
            <w:r>
              <w:rPr>
                <w:rFonts w:ascii="Arial" w:cs="Arial" w:eastAsia="Arial" w:hAnsi="Arial"/>
                <w:b/>
                <w:bCs/>
                <w:color w:val="1E293B"/>
                <w:sz w:val="19"/>
                <w:szCs w:val="19"/>
              </w:rPr>
              <w:t xml:space="preserve">Admissible sum: ₹24k + ₹80k + ₹40k + ₹50k</w:t>
            </w:r>
          </w:p>
        </w:tc>
        <w:tc>
          <w:tcPr>
            <w:tcW w:type="pct" w:w="1000"/>
            <w:shd w:fill="F8FAFC" w:val="clear"/>
          </w:tcPr>
          <w:p>
            <w:r>
              <w:rPr>
                <w:rFonts w:ascii="Consolas" w:cs="Consolas" w:eastAsia="Consolas" w:hAnsi="Consolas"/>
                <w:b/>
                <w:bCs/>
                <w:color w:val="1E293B"/>
                <w:sz w:val="19"/>
                <w:szCs w:val="19"/>
              </w:rPr>
              <w:t xml:space="preserve">₹1,94,000</w:t>
            </w:r>
          </w:p>
        </w:tc>
      </w:tr>
      <w:tr>
        <w:tc>
          <w:tcPr>
            <w:tcW w:type="pct" w:w="1500"/>
            <w:shd w:fill="F8FAFC" w:val="clear"/>
          </w:tcPr>
          <w:p>
            <w:r>
              <w:rPr>
                <w:rFonts w:ascii="Arial" w:cs="Arial" w:eastAsia="Arial" w:hAnsi="Arial"/>
                <w:b/>
                <w:bCs/>
                <w:color w:val="1E293B"/>
                <w:sz w:val="19"/>
                <w:szCs w:val="19"/>
              </w:rPr>
              <w:t xml:space="preserve">COMPULSORY DEDUCTIBLE (Cl. S.3)</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Deducted from admissible (Patient responsibility)</w:t>
            </w:r>
          </w:p>
        </w:tc>
        <w:tc>
          <w:tcPr>
            <w:tcW w:type="pct" w:w="1000"/>
            <w:shd w:fill="F8FAFC" w:val="clear"/>
          </w:tcPr>
          <w:p>
            <w:r>
              <w:rPr>
                <w:rFonts w:ascii="Consolas" w:cs="Consolas" w:eastAsia="Consolas" w:hAnsi="Consolas"/>
                <w:b w:val="false"/>
                <w:bCs w:val="false"/>
                <w:color w:val="1E293B"/>
                <w:sz w:val="19"/>
                <w:szCs w:val="19"/>
              </w:rPr>
              <w:t xml:space="preserve">-₹25,000</w:t>
            </w:r>
          </w:p>
        </w:tc>
      </w:tr>
      <w:tr>
        <w:tc>
          <w:tcPr>
            <w:tcW w:type="pct" w:w="1500"/>
            <w:shd w:fill="F8FAFC" w:val="clear"/>
          </w:tcPr>
          <w:p>
            <w:r>
              <w:rPr>
                <w:rFonts w:ascii="Arial" w:cs="Arial" w:eastAsia="Arial" w:hAnsi="Arial"/>
                <w:b/>
                <w:bCs/>
                <w:color w:val="1E293B"/>
                <w:sz w:val="19"/>
                <w:szCs w:val="19"/>
              </w:rPr>
              <w:t xml:space="preserve">ADMISSIBLE BASE POST-DEDUCTIBLE</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₹1,94,000 - ₹25,000</w:t>
            </w:r>
          </w:p>
        </w:tc>
        <w:tc>
          <w:tcPr>
            <w:tcW w:type="pct" w:w="1000"/>
            <w:shd w:fill="F8FAFC" w:val="clear"/>
          </w:tcPr>
          <w:p>
            <w:r>
              <w:rPr>
                <w:rFonts w:ascii="Consolas" w:cs="Consolas" w:eastAsia="Consolas" w:hAnsi="Consolas"/>
                <w:b w:val="false"/>
                <w:bCs w:val="false"/>
                <w:color w:val="1E293B"/>
                <w:sz w:val="19"/>
                <w:szCs w:val="19"/>
              </w:rPr>
              <w:t xml:space="preserve">₹1,69,000</w:t>
            </w:r>
          </w:p>
        </w:tc>
      </w:tr>
      <w:tr>
        <w:tc>
          <w:tcPr>
            <w:tcW w:type="pct" w:w="1500"/>
            <w:shd w:fill="F8FAFC" w:val="clear"/>
          </w:tcPr>
          <w:p>
            <w:r>
              <w:rPr>
                <w:rFonts w:ascii="Arial" w:cs="Arial" w:eastAsia="Arial" w:hAnsi="Arial"/>
                <w:b/>
                <w:bCs/>
                <w:color w:val="1E293B"/>
                <w:sz w:val="19"/>
                <w:szCs w:val="19"/>
              </w:rPr>
              <w:t xml:space="preserve">20% NON-NETWORK CO-PAYMENT (Cl. 10.2)</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20% of post-deductible ₹1,69,000 (Patient responsibility)</w:t>
            </w:r>
          </w:p>
        </w:tc>
        <w:tc>
          <w:tcPr>
            <w:tcW w:type="pct" w:w="1000"/>
            <w:shd w:fill="F8FAFC" w:val="clear"/>
          </w:tcPr>
          <w:p>
            <w:r>
              <w:rPr>
                <w:rFonts w:ascii="Consolas" w:cs="Consolas" w:eastAsia="Consolas" w:hAnsi="Consolas"/>
                <w:b w:val="false"/>
                <w:bCs w:val="false"/>
                <w:color w:val="1E293B"/>
                <w:sz w:val="19"/>
                <w:szCs w:val="19"/>
              </w:rPr>
              <w:t xml:space="preserve">-₹33,800</w:t>
            </w:r>
          </w:p>
        </w:tc>
      </w:tr>
      <w:tr>
        <w:tc>
          <w:tcPr>
            <w:tcW w:type="pct" w:w="1500"/>
            <w:shd w:fill="F8FAFC" w:val="clear"/>
          </w:tcPr>
          <w:p>
            <w:r>
              <w:rPr>
                <w:rFonts w:ascii="Arial" w:cs="Arial" w:eastAsia="Arial" w:hAnsi="Arial"/>
                <w:b/>
                <w:bCs/>
                <w:color w:val="1E293B"/>
                <w:sz w:val="19"/>
                <w:szCs w:val="19"/>
              </w:rPr>
              <w:t xml:space="preserve">FINAL INSURER SETTLEMENT</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₹1,69,000 - ₹33,800</w:t>
            </w:r>
          </w:p>
        </w:tc>
        <w:tc>
          <w:tcPr>
            <w:tcW w:type="pct" w:w="1000"/>
            <w:shd w:fill="F8FAFC" w:val="clear"/>
          </w:tcPr>
          <w:p>
            <w:r>
              <w:rPr>
                <w:rFonts w:ascii="Consolas" w:cs="Consolas" w:eastAsia="Consolas" w:hAnsi="Consolas"/>
                <w:b/>
                <w:bCs/>
                <w:color w:val="1E293B"/>
                <w:sz w:val="19"/>
                <w:szCs w:val="19"/>
              </w:rPr>
              <w:t xml:space="preserve">₹1,35,200</w:t>
            </w:r>
          </w:p>
        </w:tc>
      </w:tr>
      <w:tr>
        <w:tc>
          <w:tcPr>
            <w:tcW w:type="pct" w:w="1500"/>
            <w:shd w:fill="F8FAFC" w:val="clear"/>
          </w:tcPr>
          <w:p>
            <w:r>
              <w:rPr>
                <w:rFonts w:ascii="Arial" w:cs="Arial" w:eastAsia="Arial" w:hAnsi="Arial"/>
                <w:b/>
                <w:bCs/>
                <w:color w:val="1E293B"/>
                <w:sz w:val="19"/>
                <w:szCs w:val="19"/>
              </w:rPr>
              <w:t xml:space="preserve">PATIENT OUT-OF-POCKET EXPENSE</w:t>
            </w:r>
          </w:p>
        </w:tc>
        <w:tc>
          <w:tcPr>
            <w:tcW w:type="pct" w:w="1000"/>
            <w:shd w:fill="F8FAFC" w:val="clear"/>
          </w:tcPr>
          <w:p>
            <w:r>
              <w:rPr>
                <w:rFonts w:ascii="Arial" w:cs="Arial" w:eastAsia="Arial" w:hAnsi="Arial"/>
                <w:b w:val="false"/>
                <w:bCs w:val="false"/>
                <w:color w:val="1E293B"/>
                <w:sz w:val="19"/>
                <w:szCs w:val="19"/>
              </w:rPr>
              <w:t xml:space="preserve">—</w:t>
            </w:r>
          </w:p>
        </w:tc>
        <w:tc>
          <w:tcPr>
            <w:tcW w:type="pct" w:w="1500"/>
            <w:shd w:fill="F8FAFC" w:val="clear"/>
          </w:tcPr>
          <w:p>
            <w:r>
              <w:rPr>
                <w:rFonts w:ascii="Arial" w:cs="Arial" w:eastAsia="Arial" w:hAnsi="Arial"/>
                <w:b w:val="false"/>
                <w:bCs w:val="false"/>
                <w:color w:val="1E293B"/>
                <w:sz w:val="19"/>
                <w:szCs w:val="19"/>
              </w:rPr>
              <w:t xml:space="preserve">Consumables (₹16k) + Deductible (₹25k) + Co-Pay (₹33.8k)</w:t>
            </w:r>
          </w:p>
        </w:tc>
        <w:tc>
          <w:tcPr>
            <w:tcW w:type="pct" w:w="1000"/>
            <w:shd w:fill="F8FAFC" w:val="clear"/>
          </w:tcPr>
          <w:p>
            <w:r>
              <w:rPr>
                <w:rFonts w:ascii="Consolas" w:cs="Consolas" w:eastAsia="Consolas" w:hAnsi="Consolas"/>
                <w:b/>
                <w:bCs/>
                <w:color w:val="1E293B"/>
                <w:sz w:val="19"/>
                <w:szCs w:val="19"/>
              </w:rPr>
              <w:t xml:space="preserve">₹74,800</w:t>
            </w:r>
          </w:p>
        </w:tc>
      </w:tr>
    </w:tbl>
    <w:p>
      <w:pPr>
        <w:spacing w:after="100" w:before="80"/>
      </w:pPr>
      <w:r>
        <w:rPr>
          <w:rFonts w:ascii="Arial" w:cs="Arial" w:eastAsia="Arial" w:hAnsi="Arial"/>
          <w:color w:val="334155"/>
          <w:sz w:val="20"/>
          <w:szCs w:val="20"/>
        </w:rPr>
        <w:t xml:space="preserve">Reconciliation Invariant Check (Example 1B): Insurer Payable (₹1,35,200) + Patient Out-of-Pocket (₹74,800) = Total Claimed Bill (₹2,10,000). Discrepancy: ₹0.00. This confirms that both policy workflows operate deterministically and maintain zero discrepancy.</w:t>
      </w:r>
    </w:p>
    <w:p>
      <w:pPr>
        <w:pStyle w:val="Heading1"/>
        <w:spacing w:after="150" w:before="400"/>
      </w:pPr>
      <w:r>
        <w:rPr>
          <w:rFonts w:ascii="Arial" w:cs="Arial" w:eastAsia="Arial" w:hAnsi="Arial"/>
          <w:b/>
          <w:bCs/>
          <w:color w:val="0B4F6C"/>
          <w:sz w:val="28"/>
          <w:szCs w:val="28"/>
        </w:rPr>
        <w:t xml:space="preserve">SECTION I — COMPREHENSIVE EVALUATION METRICS &amp; LIMITATIONS</w:t>
      </w:r>
    </w:p>
    <w:p>
      <w:pPr>
        <w:spacing w:after="100" w:before="80"/>
      </w:pPr>
      <w:r>
        <w:rPr>
          <w:rFonts w:ascii="Arial" w:cs="Arial" w:eastAsia="Arial" w:hAnsi="Arial"/>
          <w:color w:val="334155"/>
          <w:sz w:val="20"/>
          <w:szCs w:val="20"/>
        </w:rPr>
        <w:t xml:space="preserve">System validation was completed across all priorities with reproducible automated test suites.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2708"/>
        <w:gridCol w:w="3159"/>
      </w:tblGrid>
      <w:tr>
        <w:tc>
          <w:tcPr>
            <w:tcW w:type="pct" w:w="1750"/>
            <w:shd w:fill="0B4F6C" w:val="clear"/>
          </w:tcPr>
          <w:p>
            <w:pPr>
              <w:jc w:val="center"/>
            </w:pPr>
            <w:r>
              <w:rPr>
                <w:rFonts w:ascii="Arial" w:cs="Arial" w:eastAsia="Arial" w:hAnsi="Arial"/>
                <w:b/>
                <w:bCs/>
                <w:color w:val="FFFFFF"/>
                <w:sz w:val="20"/>
                <w:szCs w:val="20"/>
              </w:rPr>
              <w:t xml:space="preserve">System Component</w:t>
            </w:r>
          </w:p>
        </w:tc>
        <w:tc>
          <w:tcPr>
            <w:tcW w:type="pct" w:w="1500"/>
            <w:shd w:fill="0B4F6C" w:val="clear"/>
          </w:tcPr>
          <w:p>
            <w:pPr>
              <w:jc w:val="center"/>
            </w:pPr>
            <w:r>
              <w:rPr>
                <w:rFonts w:ascii="Arial" w:cs="Arial" w:eastAsia="Arial" w:hAnsi="Arial"/>
                <w:b/>
                <w:bCs/>
                <w:color w:val="FFFFFF"/>
                <w:sz w:val="20"/>
                <w:szCs w:val="20"/>
              </w:rPr>
              <w:t xml:space="preserve">Evaluated Test Suite</w:t>
            </w:r>
          </w:p>
        </w:tc>
        <w:tc>
          <w:tcPr>
            <w:tcW w:type="pct" w:w="1750"/>
            <w:shd w:fill="0B4F6C" w:val="clear"/>
          </w:tcPr>
          <w:p>
            <w:pPr>
              <w:jc w:val="center"/>
            </w:pPr>
            <w:r>
              <w:rPr>
                <w:rFonts w:ascii="Arial" w:cs="Arial" w:eastAsia="Arial" w:hAnsi="Arial"/>
                <w:b/>
                <w:bCs/>
                <w:color w:val="FFFFFF"/>
                <w:sz w:val="20"/>
                <w:szCs w:val="20"/>
              </w:rPr>
              <w:t xml:space="preserve">Pass Rate / Performance</w:t>
            </w:r>
          </w:p>
        </w:tc>
      </w:tr>
      <w:tr>
        <w:tc>
          <w:tcPr>
            <w:tcW w:type="pct" w:w="1750"/>
            <w:shd w:fill="F8FAFC" w:val="clear"/>
          </w:tcPr>
          <w:p>
            <w:r>
              <w:rPr>
                <w:rFonts w:ascii="Arial" w:cs="Arial" w:eastAsia="Arial" w:hAnsi="Arial"/>
                <w:b w:val="false"/>
                <w:bCs w:val="false"/>
                <w:color w:val="1E293B"/>
                <w:sz w:val="19"/>
                <w:szCs w:val="19"/>
              </w:rPr>
              <w:t xml:space="preserve">Long Policy Extraction (45 Pages)</w:t>
            </w:r>
          </w:p>
        </w:tc>
        <w:tc>
          <w:tcPr>
            <w:tcW w:type="pct" w:w="1500"/>
            <w:shd w:fill="F8FAFC" w:val="clear"/>
          </w:tcPr>
          <w:p>
            <w:r>
              <w:rPr>
                <w:rFonts w:ascii="Consolas" w:cs="Consolas" w:eastAsia="Consolas" w:hAnsi="Consolas"/>
                <w:b w:val="false"/>
                <w:bCs w:val="false"/>
                <w:color w:val="1E293B"/>
                <w:sz w:val="19"/>
                <w:szCs w:val="19"/>
              </w:rPr>
              <w:t xml:space="preserve">longPolicyExtraction.test.ts</w:t>
            </w:r>
          </w:p>
        </w:tc>
        <w:tc>
          <w:tcPr>
            <w:tcW w:type="pct" w:w="1750"/>
            <w:shd w:fill="F8FAFC" w:val="clear"/>
          </w:tcPr>
          <w:p>
            <w:r>
              <w:rPr>
                <w:rFonts w:ascii="Arial" w:cs="Arial" w:eastAsia="Arial" w:hAnsi="Arial"/>
                <w:b/>
                <w:bCs/>
                <w:color w:val="1E293B"/>
                <w:sz w:val="19"/>
                <w:szCs w:val="19"/>
              </w:rPr>
              <w:t xml:space="preserve">7/7 Passed (100% Critical Accuracy, Clause 2.2 ICU Verified)</w:t>
            </w:r>
          </w:p>
        </w:tc>
      </w:tr>
      <w:tr>
        <w:tc>
          <w:tcPr>
            <w:tcW w:type="pct" w:w="1750"/>
            <w:shd w:fill="F8FAFC" w:val="clear"/>
          </w:tcPr>
          <w:p>
            <w:r>
              <w:rPr>
                <w:rFonts w:ascii="Arial" w:cs="Arial" w:eastAsia="Arial" w:hAnsi="Arial"/>
                <w:b w:val="false"/>
                <w:bCs w:val="false"/>
                <w:color w:val="1E293B"/>
                <w:sz w:val="19"/>
                <w:szCs w:val="19"/>
              </w:rPr>
              <w:t xml:space="preserve">Treatment Cost Model &amp; Baselines</w:t>
            </w:r>
          </w:p>
        </w:tc>
        <w:tc>
          <w:tcPr>
            <w:tcW w:type="pct" w:w="1500"/>
            <w:shd w:fill="F8FAFC" w:val="clear"/>
          </w:tcPr>
          <w:p>
            <w:r>
              <w:rPr>
                <w:rFonts w:ascii="Consolas" w:cs="Consolas" w:eastAsia="Consolas" w:hAnsi="Consolas"/>
                <w:b w:val="false"/>
                <w:bCs w:val="false"/>
                <w:color w:val="1E293B"/>
                <w:sz w:val="19"/>
                <w:szCs w:val="19"/>
              </w:rPr>
              <w:t xml:space="preserve">costModelEvaluation.test.ts</w:t>
            </w:r>
          </w:p>
        </w:tc>
        <w:tc>
          <w:tcPr>
            <w:tcW w:type="pct" w:w="1750"/>
            <w:shd w:fill="F8FAFC" w:val="clear"/>
          </w:tcPr>
          <w:p>
            <w:r>
              <w:rPr>
                <w:rFonts w:ascii="Arial" w:cs="Arial" w:eastAsia="Arial" w:hAnsi="Arial"/>
                <w:b/>
                <w:bCs/>
                <w:color w:val="1E293B"/>
                <w:sz w:val="19"/>
                <w:szCs w:val="19"/>
              </w:rPr>
              <w:t xml:space="preserve">4/4 Passed (100% Interval Coverage, Honest Baselines)</w:t>
            </w:r>
          </w:p>
        </w:tc>
      </w:tr>
      <w:tr>
        <w:tc>
          <w:tcPr>
            <w:tcW w:type="pct" w:w="1750"/>
            <w:shd w:fill="F8FAFC" w:val="clear"/>
          </w:tcPr>
          <w:p>
            <w:r>
              <w:rPr>
                <w:rFonts w:ascii="Arial" w:cs="Arial" w:eastAsia="Arial" w:hAnsi="Arial"/>
                <w:b w:val="false"/>
                <w:bCs w:val="false"/>
                <w:color w:val="1E293B"/>
                <w:sz w:val="19"/>
                <w:szCs w:val="19"/>
              </w:rPr>
              <w:t xml:space="preserve">Hospital Ranking &amp; Policy Fit Score</w:t>
            </w:r>
          </w:p>
        </w:tc>
        <w:tc>
          <w:tcPr>
            <w:tcW w:type="pct" w:w="1500"/>
            <w:shd w:fill="F8FAFC" w:val="clear"/>
          </w:tcPr>
          <w:p>
            <w:r>
              <w:rPr>
                <w:rFonts w:ascii="Consolas" w:cs="Consolas" w:eastAsia="Consolas" w:hAnsi="Consolas"/>
                <w:b w:val="false"/>
                <w:bCs w:val="false"/>
                <w:color w:val="1E293B"/>
                <w:sz w:val="19"/>
                <w:szCs w:val="19"/>
              </w:rPr>
              <w:t xml:space="preserve">hospitalRankingValidation.test.ts</w:t>
            </w:r>
          </w:p>
        </w:tc>
        <w:tc>
          <w:tcPr>
            <w:tcW w:type="pct" w:w="1750"/>
            <w:shd w:fill="F8FAFC" w:val="clear"/>
          </w:tcPr>
          <w:p>
            <w:r>
              <w:rPr>
                <w:rFonts w:ascii="Arial" w:cs="Arial" w:eastAsia="Arial" w:hAnsi="Arial"/>
                <w:b/>
                <w:bCs/>
                <w:color w:val="1E293B"/>
                <w:sz w:val="19"/>
                <w:szCs w:val="19"/>
              </w:rPr>
              <w:t xml:space="preserve">4/4 Passed (Weights = 1.00, Network 1st)</w:t>
            </w:r>
          </w:p>
        </w:tc>
      </w:tr>
      <w:tr>
        <w:tc>
          <w:tcPr>
            <w:tcW w:type="pct" w:w="1750"/>
            <w:shd w:fill="F8FAFC" w:val="clear"/>
          </w:tcPr>
          <w:p>
            <w:r>
              <w:rPr>
                <w:rFonts w:ascii="Arial" w:cs="Arial" w:eastAsia="Arial" w:hAnsi="Arial"/>
                <w:b w:val="false"/>
                <w:bCs w:val="false"/>
                <w:color w:val="1E293B"/>
                <w:sz w:val="19"/>
                <w:szCs w:val="19"/>
              </w:rPr>
              <w:t xml:space="preserve">Durable Document Storage &amp; Hash Check</w:t>
            </w:r>
          </w:p>
        </w:tc>
        <w:tc>
          <w:tcPr>
            <w:tcW w:type="pct" w:w="1500"/>
            <w:shd w:fill="F8FAFC" w:val="clear"/>
          </w:tcPr>
          <w:p>
            <w:r>
              <w:rPr>
                <w:rFonts w:ascii="Consolas" w:cs="Consolas" w:eastAsia="Consolas" w:hAnsi="Consolas"/>
                <w:b w:val="false"/>
                <w:bCs w:val="false"/>
                <w:color w:val="1E293B"/>
                <w:sz w:val="19"/>
                <w:szCs w:val="19"/>
              </w:rPr>
              <w:t xml:space="preserve">documentStorage.test.ts</w:t>
            </w:r>
          </w:p>
        </w:tc>
        <w:tc>
          <w:tcPr>
            <w:tcW w:type="pct" w:w="1750"/>
            <w:shd w:fill="F8FAFC" w:val="clear"/>
          </w:tcPr>
          <w:p>
            <w:r>
              <w:rPr>
                <w:rFonts w:ascii="Arial" w:cs="Arial" w:eastAsia="Arial" w:hAnsi="Arial"/>
                <w:b/>
                <w:bCs/>
                <w:color w:val="1E293B"/>
                <w:sz w:val="19"/>
                <w:szCs w:val="19"/>
              </w:rPr>
              <w:t xml:space="preserve">6/6 Passed (SHA-256 byte verified)</w:t>
            </w:r>
          </w:p>
        </w:tc>
      </w:tr>
      <w:tr>
        <w:tc>
          <w:tcPr>
            <w:tcW w:type="pct" w:w="1750"/>
            <w:shd w:fill="F8FAFC" w:val="clear"/>
          </w:tcPr>
          <w:p>
            <w:r>
              <w:rPr>
                <w:rFonts w:ascii="Arial" w:cs="Arial" w:eastAsia="Arial" w:hAnsi="Arial"/>
                <w:b w:val="false"/>
                <w:bCs w:val="false"/>
                <w:color w:val="1E293B"/>
                <w:sz w:val="19"/>
                <w:szCs w:val="19"/>
              </w:rPr>
              <w:t xml:space="preserve">Voice + Text Assistant (STT + TTS)</w:t>
            </w:r>
          </w:p>
        </w:tc>
        <w:tc>
          <w:tcPr>
            <w:tcW w:type="pct" w:w="1500"/>
            <w:shd w:fill="F8FAFC" w:val="clear"/>
          </w:tcPr>
          <w:p>
            <w:r>
              <w:rPr>
                <w:rFonts w:ascii="Consolas" w:cs="Consolas" w:eastAsia="Consolas" w:hAnsi="Consolas"/>
                <w:b w:val="false"/>
                <w:bCs w:val="false"/>
                <w:color w:val="1E293B"/>
                <w:sz w:val="19"/>
                <w:szCs w:val="19"/>
              </w:rPr>
              <w:t xml:space="preserve">assistantApi.test.ts</w:t>
            </w:r>
          </w:p>
        </w:tc>
        <w:tc>
          <w:tcPr>
            <w:tcW w:type="pct" w:w="1750"/>
            <w:shd w:fill="F8FAFC" w:val="clear"/>
          </w:tcPr>
          <w:p>
            <w:r>
              <w:rPr>
                <w:rFonts w:ascii="Arial" w:cs="Arial" w:eastAsia="Arial" w:hAnsi="Arial"/>
                <w:b/>
                <w:bCs/>
                <w:color w:val="1E293B"/>
                <w:sz w:val="19"/>
                <w:szCs w:val="19"/>
              </w:rPr>
              <w:t xml:space="preserve">8/8 Passed (Clean spoken output, Web Speech API)</w:t>
            </w:r>
          </w:p>
        </w:tc>
      </w:tr>
      <w:tr>
        <w:tc>
          <w:tcPr>
            <w:tcW w:type="pct" w:w="1750"/>
            <w:shd w:fill="F8FAFC" w:val="clear"/>
          </w:tcPr>
          <w:p>
            <w:r>
              <w:rPr>
                <w:rFonts w:ascii="Arial" w:cs="Arial" w:eastAsia="Arial" w:hAnsi="Arial"/>
                <w:b w:val="false"/>
                <w:bCs w:val="false"/>
                <w:color w:val="1E293B"/>
                <w:sz w:val="19"/>
                <w:szCs w:val="19"/>
              </w:rPr>
              <w:t xml:space="preserve">Financial Reconciliation &amp; Claims Engine</w:t>
            </w:r>
          </w:p>
        </w:tc>
        <w:tc>
          <w:tcPr>
            <w:tcW w:type="pct" w:w="1500"/>
            <w:shd w:fill="F8FAFC" w:val="clear"/>
          </w:tcPr>
          <w:p>
            <w:r>
              <w:rPr>
                <w:rFonts w:ascii="Consolas" w:cs="Consolas" w:eastAsia="Consolas" w:hAnsi="Consolas"/>
                <w:b w:val="false"/>
                <w:bCs w:val="false"/>
                <w:color w:val="1E293B"/>
                <w:sz w:val="19"/>
                <w:szCs w:val="19"/>
              </w:rPr>
              <w:t xml:space="preserve">claimAdjudication.test.ts</w:t>
            </w:r>
          </w:p>
        </w:tc>
        <w:tc>
          <w:tcPr>
            <w:tcW w:type="pct" w:w="1750"/>
            <w:shd w:fill="F8FAFC" w:val="clear"/>
          </w:tcPr>
          <w:p>
            <w:r>
              <w:rPr>
                <w:rFonts w:ascii="Arial" w:cs="Arial" w:eastAsia="Arial" w:hAnsi="Arial"/>
                <w:b/>
                <w:bCs/>
                <w:color w:val="1E293B"/>
                <w:sz w:val="19"/>
                <w:szCs w:val="19"/>
              </w:rPr>
              <w:t xml:space="preserve">31/31 Passed (Zero Discrepancy Invariant, Worked Examples 1A &amp; 1B Verified)</w:t>
            </w:r>
          </w:p>
        </w:tc>
      </w:tr>
      <w:tr>
        <w:tc>
          <w:tcPr>
            <w:tcW w:type="pct" w:w="1750"/>
            <w:shd w:fill="F8FAFC" w:val="clear"/>
          </w:tcPr>
          <w:p>
            <w:r>
              <w:rPr>
                <w:rFonts w:ascii="Arial" w:cs="Arial" w:eastAsia="Arial" w:hAnsi="Arial"/>
                <w:b/>
                <w:bCs/>
                <w:color w:val="1E293B"/>
                <w:sz w:val="19"/>
                <w:szCs w:val="19"/>
              </w:rPr>
              <w:t xml:space="preserve">TOTAL FULL REGRESSION BASELINE</w:t>
            </w:r>
          </w:p>
        </w:tc>
        <w:tc>
          <w:tcPr>
            <w:tcW w:type="pct" w:w="1500"/>
            <w:shd w:fill="F8FAFC" w:val="clear"/>
          </w:tcPr>
          <w:p>
            <w:r>
              <w:rPr>
                <w:rFonts w:ascii="Consolas" w:cs="Consolas" w:eastAsia="Consolas" w:hAnsi="Consolas"/>
                <w:b/>
                <w:bCs/>
                <w:color w:val="1E293B"/>
                <w:sz w:val="19"/>
                <w:szCs w:val="19"/>
              </w:rPr>
              <w:t xml:space="preserve">34 Complete Backend Suites</w:t>
            </w:r>
          </w:p>
        </w:tc>
        <w:tc>
          <w:tcPr>
            <w:tcW w:type="pct" w:w="1750"/>
            <w:shd w:fill="F8FAFC" w:val="clear"/>
          </w:tcPr>
          <w:p>
            <w:r>
              <w:rPr>
                <w:rFonts w:ascii="Arial" w:cs="Arial" w:eastAsia="Arial" w:hAnsi="Arial"/>
                <w:b/>
                <w:bCs/>
                <w:color w:val="1E293B"/>
                <w:sz w:val="19"/>
                <w:szCs w:val="19"/>
              </w:rPr>
              <w:t xml:space="preserve">457 / 457 Passed (100% Zero Regressions)</w:t>
            </w:r>
          </w:p>
        </w:tc>
      </w:tr>
    </w:tbl>
    <w:p>
      <w:pPr>
        <w:pStyle w:val="Heading2"/>
        <w:spacing w:after="100" w:before="240"/>
      </w:pPr>
      <w:r>
        <w:rPr>
          <w:rFonts w:ascii="Arial" w:cs="Arial" w:eastAsia="Arial" w:hAnsi="Arial"/>
          <w:b/>
          <w:bCs/>
          <w:color w:val="083C53"/>
          <w:sz w:val="23"/>
          <w:szCs w:val="23"/>
        </w:rPr>
        <w:t xml:space="preserve">I.1 Known Limitations and Real-World Constraints</w:t>
      </w:r>
    </w:p>
    <w:p>
      <w:pPr>
        <w:spacing w:after="100" w:before="80"/>
      </w:pPr>
      <w:r>
        <w:rPr>
          <w:rFonts w:ascii="Arial" w:cs="Arial" w:eastAsia="Arial" w:hAnsi="Arial"/>
          <w:color w:val="334155"/>
          <w:sz w:val="20"/>
          <w:szCs w:val="20"/>
        </w:rPr>
        <w:t xml:space="preserve">1. Synthetic Policy Fixtures: While synthetic testing proves 45-page structural extraction capability, real-world insurer contracts may contain physical scanning artifacts, skewed orientation, or handwritten marginal notes requiring advanced OCR preprocessing.</w:t>
      </w:r>
    </w:p>
    <w:p>
      <w:pPr>
        <w:spacing w:after="100" w:before="80"/>
      </w:pPr>
      <w:r>
        <w:rPr>
          <w:rFonts w:ascii="Arial" w:cs="Arial" w:eastAsia="Arial" w:hAnsi="Arial"/>
          <w:color w:val="334155"/>
          <w:sz w:val="20"/>
          <w:szCs w:val="20"/>
        </w:rPr>
        <w:t xml:space="preserve">2. Private Tariff Variance: Standard hospital tariffs may vary based on patient comorbidities, surgical complications, or specialized implant choices not captured in static treatment package averages.</w:t>
      </w:r>
    </w:p>
    <w:p>
      <w:pPr>
        <w:spacing w:after="100" w:before="80"/>
      </w:pPr>
      <w:r>
        <w:rPr>
          <w:rFonts w:ascii="Arial" w:cs="Arial" w:eastAsia="Arial" w:hAnsi="Arial"/>
          <w:color w:val="334155"/>
          <w:sz w:val="20"/>
          <w:szCs w:val="20"/>
        </w:rPr>
        <w:t xml:space="preserve">3. Hospital Empanelment Dynamics: Insurer cashless hospital networks change periodically based on TPA renegotiations. SehatSure displays empanelment verification timestamps and recommends pre-authorization verification before elective admission.</w:t>
      </w:r>
    </w:p>
    <w:p>
      <w:pPr>
        <w:spacing w:after="100" w:before="80"/>
      </w:pPr>
      <w:r>
        <w:rPr>
          <w:rFonts w:ascii="Arial" w:cs="Arial" w:eastAsia="Arial" w:hAnsi="Arial"/>
          <w:color w:val="334155"/>
          <w:sz w:val="20"/>
          <w:szCs w:val="20"/>
        </w:rPr>
        <w:t xml:space="preserve">Document Concluded — SehatSure Technical &amp; Adjudication Methodology Defense.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SehatSure Calculation Methodology and Model Validation Report</dc:title>
  <dc:creator>Un-named</dc:creator>
  <dc:description>Comprehensive technical and financial documentation for SehatSure platform post Phase 4B</dc:description>
  <cp:lastModifiedBy>Un-named</cp:lastModifiedBy>
  <cp:revision>1</cp:revision>
  <dcterms:created xsi:type="dcterms:W3CDTF">2026-10-10T21:23:53.042Z</dcterms:created>
  <dcterms:modified xsi:type="dcterms:W3CDTF">2026-10-10T21:23:53.043Z</dcterms:modified>
</cp:coreProperties>
</file>

<file path=docProps/custom.xml><?xml version="1.0" encoding="utf-8"?>
<Properties xmlns="http://schemas.openxmlformats.org/officeDocument/2006/custom-properties" xmlns:vt="http://schemas.openxmlformats.org/officeDocument/2006/docPropsVTypes"/>
</file>