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766E"/>
          <w:sz w:val="48"/>
        </w:rPr>
        <w:t>SEHATSURE HEALTHCARE INTELLIGENCE</w:t>
      </w:r>
    </w:p>
    <w:p>
      <w:pPr>
        <w:spacing w:before="0" w:after="280"/>
      </w:pPr>
      <w:r>
        <w:rPr>
          <w:rFonts w:ascii="Calibri" w:hAnsi="Calibri"/>
          <w:color w:val="475569"/>
          <w:sz w:val="28"/>
        </w:rPr>
        <w:t>Complete Machine Learning Cost Prediction &amp; Baseline Technical Audit Report</w:t>
      </w:r>
    </w:p>
    <w:tbl>
      <w:tblPr>
        <w:tblW w:type="auto" w:w="0"/>
        <w:jc w:val="center"/>
        <w:tblLook w:firstColumn="1" w:firstRow="1" w:lastColumn="0" w:lastRow="0" w:noHBand="0" w:noVBand="1" w:val="04A0"/>
      </w:tblPr>
      <w:tblGrid>
        <w:gridCol w:w="4968"/>
        <w:gridCol w:w="4968"/>
      </w:tblGrid>
      <w:tr>
        <w:tc>
          <w:tcPr>
            <w:tcW w:type="dxa" w:w="4968"/>
            <w:shd w:fill="047857"/>
            <w:tcMar>
              <w:top w:w="120" w:type="dxa"/>
              <w:bottom w:w="120" w:type="dxa"/>
              <w:left w:w="150" w:type="dxa"/>
              <w:right w:w="150" w:type="dxa"/>
            </w:tcMar>
          </w:tcPr>
          <w:p>
            <w:pPr>
              <w:jc w:val="left"/>
            </w:pPr>
            <w:r>
              <w:rPr>
                <w:rFonts w:ascii="Calibri" w:hAnsi="Calibri"/>
                <w:b/>
                <w:color w:val="FFFFFF"/>
                <w:sz w:val="19"/>
              </w:rPr>
              <w:t>Audit Scope: SehatSure Repository Cost Engine &amp; Models</w:t>
            </w:r>
          </w:p>
        </w:tc>
        <w:tc>
          <w:tcPr>
            <w:tcW w:type="dxa" w:w="4968"/>
            <w:shd w:fill="047857"/>
            <w:tcMar>
              <w:top w:w="120" w:type="dxa"/>
              <w:bottom w:w="120" w:type="dxa"/>
              <w:left w:w="150" w:type="dxa"/>
              <w:right w:w="150" w:type="dxa"/>
            </w:tcMar>
          </w:tcPr>
          <w:p>
            <w:pPr>
              <w:jc w:val="left"/>
            </w:pPr>
            <w:r>
              <w:rPr>
                <w:rFonts w:ascii="Calibri" w:hAnsi="Calibri"/>
                <w:b/>
                <w:color w:val="FFFFFF"/>
                <w:sz w:val="19"/>
              </w:rPr>
              <w:t>Audit Execution Mode: Read-Only Independent Codebase Audit</w:t>
            </w:r>
          </w:p>
        </w:tc>
      </w:tr>
      <w:tr>
        <w:tc>
          <w:tcPr>
            <w:tcW w:type="dxa" w:w="4968"/>
            <w:shd w:fill="F1F5F9"/>
            <w:tcMar>
              <w:top w:w="100" w:type="dxa"/>
              <w:bottom w:w="100" w:type="dxa"/>
              <w:left w:w="150" w:type="dxa"/>
              <w:right w:w="150" w:type="dxa"/>
            </w:tcMar>
          </w:tcPr>
          <w:p>
            <w:r>
              <w:rPr>
                <w:rFonts w:ascii="Calibri" w:hAnsi="Calibri"/>
                <w:color w:val="64748B"/>
                <w:sz w:val="18"/>
              </w:rPr>
              <w:t>Date of Audit: October 10, 2026</w:t>
            </w:r>
          </w:p>
        </w:tc>
        <w:tc>
          <w:tcPr>
            <w:tcW w:type="dxa" w:w="4968"/>
            <w:shd w:fill="F1F5F9"/>
            <w:tcMar>
              <w:top w:w="100" w:type="dxa"/>
              <w:bottom w:w="100" w:type="dxa"/>
              <w:left w:w="150" w:type="dxa"/>
              <w:right w:w="150" w:type="dxa"/>
            </w:tcMar>
          </w:tcPr>
          <w:p>
            <w:r>
              <w:rPr>
                <w:rFonts w:ascii="Calibri" w:hAnsi="Calibri"/>
                <w:color w:val="64748B"/>
                <w:sz w:val="18"/>
              </w:rPr>
              <w:t>Auditor: Senior ML Engineer &amp; Healthcare Data Scientist</w:t>
            </w:r>
          </w:p>
        </w:tc>
      </w:tr>
    </w:tbl>
    <w:p/>
    <w:p>
      <w:pPr>
        <w:pStyle w:val="Heading1"/>
      </w:pPr>
      <w:r>
        <w:t>1. Executive Summary</w:t>
      </w:r>
    </w:p>
    <w:p>
      <w:r>
        <w:t>This technical audit presents a comprehensive, evidence-based investigation into how the SehatSure healthcare platform currently estimates hospital treatment costs, whether genuine machine learning exists, how benchmarks are prioritized, and how cost predictions interact with the deterministic insurance financial adjudication engine.</w:t>
      </w:r>
    </w:p>
    <w:tbl>
      <w:tblPr>
        <w:tblW w:type="auto" w:w="0"/>
        <w:jc w:val="center"/>
        <w:tblLook w:firstColumn="1" w:firstRow="1" w:lastColumn="0" w:lastRow="0" w:noHBand="0" w:noVBand="1" w:val="04A0"/>
      </w:tblPr>
      <w:tblGrid>
        <w:gridCol w:w="3312"/>
        <w:gridCol w:w="3312"/>
        <w:gridCol w:w="3312"/>
      </w:tblGrid>
      <w:tr>
        <w:tc>
          <w:tcPr>
            <w:tcW w:type="dxa" w:w="3312"/>
            <w:shd w:fill="0F766E"/>
            <w:tcMar>
              <w:top w:w="120" w:type="dxa"/>
              <w:bottom w:w="120" w:type="dxa"/>
              <w:left w:w="150" w:type="dxa"/>
              <w:right w:w="150" w:type="dxa"/>
            </w:tcMar>
          </w:tcPr>
          <w:p>
            <w:pPr>
              <w:jc w:val="left"/>
            </w:pPr>
            <w:r>
              <w:rPr>
                <w:rFonts w:ascii="Calibri" w:hAnsi="Calibri"/>
                <w:b/>
                <w:color w:val="FFFFFF"/>
                <w:sz w:val="19"/>
              </w:rPr>
              <w:t>Audit Dimension</w:t>
            </w:r>
          </w:p>
        </w:tc>
        <w:tc>
          <w:tcPr>
            <w:tcW w:type="dxa" w:w="3312"/>
            <w:shd w:fill="0F766E"/>
            <w:tcMar>
              <w:top w:w="120" w:type="dxa"/>
              <w:bottom w:w="120" w:type="dxa"/>
              <w:left w:w="150" w:type="dxa"/>
              <w:right w:w="150" w:type="dxa"/>
            </w:tcMar>
          </w:tcPr>
          <w:p>
            <w:pPr>
              <w:jc w:val="left"/>
            </w:pPr>
            <w:r>
              <w:rPr>
                <w:rFonts w:ascii="Calibri" w:hAnsi="Calibri"/>
                <w:b/>
                <w:color w:val="FFFFFF"/>
                <w:sz w:val="19"/>
              </w:rPr>
              <w:t>Key Findings</w:t>
            </w:r>
          </w:p>
        </w:tc>
        <w:tc>
          <w:tcPr>
            <w:tcW w:type="dxa" w:w="3312"/>
            <w:shd w:fill="0F766E"/>
            <w:tcMar>
              <w:top w:w="120" w:type="dxa"/>
              <w:bottom w:w="120" w:type="dxa"/>
              <w:left w:w="150" w:type="dxa"/>
              <w:right w:w="150" w:type="dxa"/>
            </w:tcMar>
          </w:tcPr>
          <w:p>
            <w:pPr>
              <w:jc w:val="left"/>
            </w:pPr>
            <w:r>
              <w:rPr>
                <w:rFonts w:ascii="Calibri" w:hAnsi="Calibri"/>
                <w:b/>
                <w:color w:val="FFFFFF"/>
                <w:sz w:val="19"/>
              </w:rPr>
              <w:t>Verification Status</w:t>
            </w:r>
          </w:p>
        </w:tc>
      </w:tr>
      <w:tr>
        <w:tc>
          <w:tcPr>
            <w:tcW w:type="dxa" w:w="3312"/>
            <w:shd w:fill="F8FAFC"/>
            <w:tcMar>
              <w:top w:w="100" w:type="dxa"/>
              <w:bottom w:w="100" w:type="dxa"/>
              <w:left w:w="150" w:type="dxa"/>
              <w:right w:w="150" w:type="dxa"/>
            </w:tcMar>
          </w:tcPr>
          <w:p>
            <w:r>
              <w:rPr>
                <w:rFonts w:ascii="Calibri" w:hAnsi="Calibri"/>
                <w:sz w:val="18"/>
              </w:rPr>
              <w:t>Primary Pricing Engine</w:t>
            </w:r>
          </w:p>
        </w:tc>
        <w:tc>
          <w:tcPr>
            <w:tcW w:type="dxa" w:w="3312"/>
            <w:shd w:fill="F8FAFC"/>
            <w:tcMar>
              <w:top w:w="100" w:type="dxa"/>
              <w:bottom w:w="100" w:type="dxa"/>
              <w:left w:w="150" w:type="dxa"/>
              <w:right w:w="150" w:type="dxa"/>
            </w:tcMar>
          </w:tcPr>
          <w:p>
            <w:r>
              <w:rPr>
                <w:rFonts w:ascii="Calibri" w:hAnsi="Calibri"/>
                <w:sz w:val="18"/>
              </w:rPr>
              <w:t>Deterministic hierarchical lookup against audited benchmarks (treatment_cost_benchmarks.csv), coupled with a mathematical insurance engine.</w:t>
            </w:r>
          </w:p>
        </w:tc>
        <w:tc>
          <w:tcPr>
            <w:tcW w:type="dxa" w:w="3312"/>
            <w:shd w:fill="F8FAFC"/>
            <w:tcMar>
              <w:top w:w="100" w:type="dxa"/>
              <w:bottom w:w="100" w:type="dxa"/>
              <w:left w:w="150" w:type="dxa"/>
              <w:right w:w="150" w:type="dxa"/>
            </w:tcMar>
          </w:tcPr>
          <w:p>
            <w:r>
              <w:rPr>
                <w:rFonts w:ascii="Calibri" w:hAnsi="Calibri"/>
                <w:sz w:val="18"/>
              </w:rPr>
              <w:t>VERIFIED</w:t>
            </w:r>
          </w:p>
        </w:tc>
      </w:tr>
      <w:tr>
        <w:tc>
          <w:tcPr>
            <w:tcW w:type="dxa" w:w="3312"/>
            <w:shd w:fill="FFFFFF"/>
            <w:tcMar>
              <w:top w:w="100" w:type="dxa"/>
              <w:bottom w:w="100" w:type="dxa"/>
              <w:left w:w="150" w:type="dxa"/>
              <w:right w:w="150" w:type="dxa"/>
            </w:tcMar>
          </w:tcPr>
          <w:p>
            <w:r>
              <w:rPr>
                <w:rFonts w:ascii="Calibri" w:hAnsi="Calibri"/>
                <w:sz w:val="18"/>
              </w:rPr>
              <w:t>Genuine ML Existence</w:t>
            </w:r>
          </w:p>
        </w:tc>
        <w:tc>
          <w:tcPr>
            <w:tcW w:type="dxa" w:w="3312"/>
            <w:shd w:fill="FFFFFF"/>
            <w:tcMar>
              <w:top w:w="100" w:type="dxa"/>
              <w:bottom w:w="100" w:type="dxa"/>
              <w:left w:w="150" w:type="dxa"/>
              <w:right w:w="150" w:type="dxa"/>
            </w:tcMar>
          </w:tcPr>
          <w:p>
            <w:r>
              <w:rPr>
                <w:rFonts w:ascii="Calibri" w:hAnsi="Calibri"/>
                <w:sz w:val="18"/>
              </w:rPr>
              <w:t>A genuine supervised regression model (Ridge Regression, alpha=1.0) is implemented, trained via Python, exported to a JSON artifact, and executed at runtime in TypeScript.</w:t>
            </w:r>
          </w:p>
        </w:tc>
        <w:tc>
          <w:tcPr>
            <w:tcW w:type="dxa" w:w="3312"/>
            <w:shd w:fill="FFFFFF"/>
            <w:tcMar>
              <w:top w:w="100" w:type="dxa"/>
              <w:bottom w:w="100" w:type="dxa"/>
              <w:left w:w="150" w:type="dxa"/>
              <w:right w:w="150" w:type="dxa"/>
            </w:tcMar>
          </w:tcPr>
          <w:p>
            <w:r>
              <w:rPr>
                <w:rFonts w:ascii="Calibri" w:hAnsi="Calibri"/>
                <w:sz w:val="18"/>
              </w:rPr>
              <w:t>VERIFIED</w:t>
            </w:r>
          </w:p>
        </w:tc>
      </w:tr>
      <w:tr>
        <w:tc>
          <w:tcPr>
            <w:tcW w:type="dxa" w:w="3312"/>
            <w:shd w:fill="F8FAFC"/>
            <w:tcMar>
              <w:top w:w="100" w:type="dxa"/>
              <w:bottom w:w="100" w:type="dxa"/>
              <w:left w:w="150" w:type="dxa"/>
              <w:right w:w="150" w:type="dxa"/>
            </w:tcMar>
          </w:tcPr>
          <w:p>
            <w:r>
              <w:rPr>
                <w:rFonts w:ascii="Calibri" w:hAnsi="Calibri"/>
                <w:sz w:val="18"/>
              </w:rPr>
              <w:t>Role of the ML Model</w:t>
            </w:r>
          </w:p>
        </w:tc>
        <w:tc>
          <w:tcPr>
            <w:tcW w:type="dxa" w:w="3312"/>
            <w:shd w:fill="F8FAFC"/>
            <w:tcMar>
              <w:top w:w="100" w:type="dxa"/>
              <w:bottom w:w="100" w:type="dxa"/>
              <w:left w:w="150" w:type="dxa"/>
              <w:right w:w="150" w:type="dxa"/>
            </w:tcMar>
          </w:tcPr>
          <w:p>
            <w:r>
              <w:rPr>
                <w:rFonts w:ascii="Calibri" w:hAnsi="Calibri"/>
                <w:sz w:val="18"/>
              </w:rPr>
              <w:t>Operates as an analytical companion &amp; cost-driver explainer (mlCostAnalysis) and counterfactual simulator. Does not adjudicate insurance claims.</w:t>
            </w:r>
          </w:p>
        </w:tc>
        <w:tc>
          <w:tcPr>
            <w:tcW w:type="dxa" w:w="3312"/>
            <w:shd w:fill="F8FAFC"/>
            <w:tcMar>
              <w:top w:w="100" w:type="dxa"/>
              <w:bottom w:w="100" w:type="dxa"/>
              <w:left w:w="150" w:type="dxa"/>
              <w:right w:w="150" w:type="dxa"/>
            </w:tcMar>
          </w:tcPr>
          <w:p>
            <w:r>
              <w:rPr>
                <w:rFonts w:ascii="Calibri" w:hAnsi="Calibri"/>
                <w:sz w:val="18"/>
              </w:rPr>
              <w:t>VERIFIED</w:t>
            </w:r>
          </w:p>
        </w:tc>
      </w:tr>
      <w:tr>
        <w:tc>
          <w:tcPr>
            <w:tcW w:type="dxa" w:w="3312"/>
            <w:shd w:fill="FFFFFF"/>
            <w:tcMar>
              <w:top w:w="100" w:type="dxa"/>
              <w:bottom w:w="100" w:type="dxa"/>
              <w:left w:w="150" w:type="dxa"/>
              <w:right w:w="150" w:type="dxa"/>
            </w:tcMar>
          </w:tcPr>
          <w:p>
            <w:r>
              <w:rPr>
                <w:rFonts w:ascii="Calibri" w:hAnsi="Calibri"/>
                <w:sz w:val="18"/>
              </w:rPr>
              <w:t>Training Dataset</w:t>
            </w:r>
          </w:p>
        </w:tc>
        <w:tc>
          <w:tcPr>
            <w:tcW w:type="dxa" w:w="3312"/>
            <w:shd w:fill="FFFFFF"/>
            <w:tcMar>
              <w:top w:w="100" w:type="dxa"/>
              <w:bottom w:w="100" w:type="dxa"/>
              <w:left w:w="150" w:type="dxa"/>
              <w:right w:w="150" w:type="dxa"/>
            </w:tcMar>
          </w:tcPr>
          <w:p>
            <w:r>
              <w:rPr>
                <w:rFonts w:ascii="Calibri" w:hAnsi="Calibri"/>
                <w:sz w:val="18"/>
              </w:rPr>
              <w:t>pvt_costs.csv contains only 184 rows, representing an engineered grid of 23 procedures across 8 tiers. Contains zero individual hospital invoices.</w:t>
            </w:r>
          </w:p>
        </w:tc>
        <w:tc>
          <w:tcPr>
            <w:tcW w:type="dxa" w:w="3312"/>
            <w:shd w:fill="FFFFFF"/>
            <w:tcMar>
              <w:top w:w="100" w:type="dxa"/>
              <w:bottom w:w="100" w:type="dxa"/>
              <w:left w:w="150" w:type="dxa"/>
              <w:right w:w="150" w:type="dxa"/>
            </w:tcMar>
          </w:tcPr>
          <w:p>
            <w:r>
              <w:rPr>
                <w:rFonts w:ascii="Calibri" w:hAnsi="Calibri"/>
                <w:sz w:val="18"/>
              </w:rPr>
              <w:t>CRITICAL FINDING</w:t>
            </w:r>
          </w:p>
        </w:tc>
      </w:tr>
      <w:tr>
        <w:tc>
          <w:tcPr>
            <w:tcW w:type="dxa" w:w="3312"/>
            <w:shd w:fill="F8FAFC"/>
            <w:tcMar>
              <w:top w:w="100" w:type="dxa"/>
              <w:bottom w:w="100" w:type="dxa"/>
              <w:left w:w="150" w:type="dxa"/>
              <w:right w:w="150" w:type="dxa"/>
            </w:tcMar>
          </w:tcPr>
          <w:p>
            <w:r>
              <w:rPr>
                <w:rFonts w:ascii="Calibri" w:hAnsi="Calibri"/>
                <w:sz w:val="18"/>
              </w:rPr>
              <w:t>Real-World Accuracy</w:t>
            </w:r>
          </w:p>
        </w:tc>
        <w:tc>
          <w:tcPr>
            <w:tcW w:type="dxa" w:w="3312"/>
            <w:shd w:fill="F8FAFC"/>
            <w:tcMar>
              <w:top w:w="100" w:type="dxa"/>
              <w:bottom w:w="100" w:type="dxa"/>
              <w:left w:w="150" w:type="dxa"/>
              <w:right w:w="150" w:type="dxa"/>
            </w:tcMar>
          </w:tcPr>
          <w:p>
            <w:r>
              <w:rPr>
                <w:rFonts w:ascii="Calibri" w:hAnsi="Calibri"/>
                <w:sz w:val="18"/>
              </w:rPr>
              <w:t>Real-world predictive accuracy is currently unverified. On the synthetic grid, 10-fold CV yields R2 = 0.3037; unseen procedure holdout yields R2 = -0.6839.</w:t>
            </w:r>
          </w:p>
        </w:tc>
        <w:tc>
          <w:tcPr>
            <w:tcW w:type="dxa" w:w="3312"/>
            <w:shd w:fill="F8FAFC"/>
            <w:tcMar>
              <w:top w:w="100" w:type="dxa"/>
              <w:bottom w:w="100" w:type="dxa"/>
              <w:left w:w="150" w:type="dxa"/>
              <w:right w:w="150" w:type="dxa"/>
            </w:tcMar>
          </w:tcPr>
          <w:p>
            <w:r>
              <w:rPr>
                <w:rFonts w:ascii="Calibri" w:hAnsi="Calibri"/>
                <w:sz w:val="18"/>
              </w:rPr>
              <w:t>VERIFIED</w:t>
            </w:r>
          </w:p>
        </w:tc>
      </w:tr>
    </w:tbl>
    <w:p/>
    <w:p>
      <w:pPr>
        <w:pStyle w:val="Heading1"/>
      </w:pPr>
      <w:r>
        <w:t>2. Current Architecture and End-to-End Prediction Flow</w:t>
      </w:r>
    </w:p>
    <w:p>
      <w:r>
        <w:t>The SehatSure platform implements a strictly decoupled 5-tier architecture connecting clinical user queries to financial displays:</w:t>
      </w:r>
    </w:p>
    <w:p>
      <w:r>
        <w:t>1. Feature Extraction &amp; Normalization: Clinical procedures are standardized to canonical IDs via procedureNormalizerService.ts; hospital cities are resolved to 8 canonical tiers (Metro 1 to Town 2) via hospitalService.ts.</w:t>
      </w:r>
    </w:p>
    <w:p>
      <w:r>
        <w:t>2. Primary Deterministic Benchmark Lookup: CostIntelligenceService.findBenchmark() evaluates verified benchmarks using a strict hierarchy (Hospital-Specific -&gt; Regional -&gt; National -&gt; Government Package). If no verified benchmark exists, it triggers a defensive domain refusal (available=false).</w:t>
      </w:r>
    </w:p>
    <w:p>
      <w:r>
        <w:t>3. Companion ML Inference: TreatmentCostMLService loads treatment_cost_model_artifact.json and executes Ridge inference (y_hat = beta_0 + sum(beta_j * x_j)) along with exact local linear Shapley feature attribution (C_j = beta_j * (x_j - mean_x_j)).</w:t>
      </w:r>
    </w:p>
    <w:p>
      <w:r>
        <w:t>4. Total Bill Assembly: HospitalService adds procedure treatment cost to hospital-specific room costs: Total Bill = Treatment Cost + (Daily Room Tariff * Stay Days).</w:t>
      </w:r>
    </w:p>
    <w:p>
      <w:r>
        <w:t>5. Deterministic Policy Adjudication (FIN-01): HospitalService.computeCanonicalImpact() evaluates the user's uploaded policy rules (room rent limits, proportionate deduction, deductibles, co-pays, and sum insured caps).</w:t>
      </w:r>
    </w:p>
    <w:p>
      <w:r>
        <w:t>6. Frontend Presentation: Displayed across HospitalDiscoveryPage.jsx, BillBreakdownModal.jsx, and WhyThisEstimateCard.jsx.</w:t>
      </w:r>
    </w:p>
    <w:p>
      <w:pPr>
        <w:pStyle w:val="Heading1"/>
      </w:pPr>
      <w:r>
        <w:t>3. Genuine ML versus Deterministic Logic: Verified Conclusion</w:t>
      </w:r>
    </w:p>
    <w:tbl>
      <w:tblPr>
        <w:tblW w:type="auto" w:w="0"/>
        <w:jc w:val="center"/>
        <w:tblLook w:firstColumn="1" w:firstRow="1" w:lastColumn="0" w:lastRow="0" w:noHBand="0" w:noVBand="1" w:val="04A0"/>
      </w:tblPr>
      <w:tblGrid>
        <w:gridCol w:w="9936"/>
      </w:tblGrid>
      <w:tr>
        <w:tc>
          <w:tcPr>
            <w:tcW w:type="dxa" w:w="9936"/>
            <w:shd w:fill="F0FDFA"/>
            <w:tcMar>
              <w:top w:w="140" w:type="dxa"/>
              <w:bottom w:w="140" w:type="dxa"/>
              <w:left w:w="200" w:type="dxa"/>
              <w:right w:w="200" w:type="dxa"/>
            </w:tcMar>
            <w:tcBorders>
              <w:top w:val="none"/>
              <w:left w:val="single" w:sz="36" w:space="0" w:color="0F766E"/>
              <w:bottom w:val="none"/>
              <w:right w:val="none"/>
            </w:tcBorders>
          </w:tcPr>
          <w:p>
            <w:pPr>
              <w:spacing w:before="0" w:after="60"/>
            </w:pPr>
            <w:r>
              <w:rPr>
                <w:rFonts w:ascii="Calibri" w:hAnsi="Calibri"/>
                <w:b/>
                <w:color w:val="0F766E"/>
                <w:sz w:val="21"/>
              </w:rPr>
              <w:t>★ VERIFIED ARCHITECTURAL SEPARATION</w:t>
              <w:br/>
            </w:r>
            <w:r>
              <w:rPr>
                <w:rFonts w:ascii="Calibri" w:hAnsi="Calibri"/>
                <w:color w:val="334155"/>
                <w:sz w:val="19"/>
              </w:rPr>
              <w:t>A trained machine learning model exists and executes at runtime, but it does NOT calculate insurance claim payouts. It serves as an analytical companion explaining procedural cost drivers while statutory financial rules remain 100% deterministic.</w:t>
            </w:r>
          </w:p>
        </w:tc>
      </w:tr>
    </w:tbl>
    <w:p/>
    <w:p>
      <w:r>
        <w:t>• Algorithm: Ridge Tabular Regression (L2 regularization, alpha=1.0) chosen for global convexity and exact additive feature decomposition.</w:t>
      </w:r>
    </w:p>
    <w:p>
      <w:r>
        <w:t>• Training Script: scripts/train_treatment_cost_model.py (Python / scikit-learn).</w:t>
      </w:r>
    </w:p>
    <w:p>
      <w:r>
        <w:t>• Model Artifact: server/src/ml/treatment_cost_model_artifact.json (39 coefficients, feature means, intercept, and cross-validation metadata).</w:t>
      </w:r>
    </w:p>
    <w:p>
      <w:r>
        <w:t>• Live Application Inference: Loaded by TreatmentCostMLService.loadModel() and executed in pure TypeScript within Node.js upon every search request.</w:t>
      </w:r>
    </w:p>
    <w:p>
      <w:pPr>
        <w:pStyle w:val="Heading1"/>
      </w:pPr>
      <w:r>
        <w:t>4. Dataset Inventory and Data-Quality Audit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766E"/>
            <w:tcMar>
              <w:top w:w="120" w:type="dxa"/>
              <w:bottom w:w="120" w:type="dxa"/>
              <w:left w:w="150" w:type="dxa"/>
              <w:right w:w="150" w:type="dxa"/>
            </w:tcMar>
          </w:tcPr>
          <w:p>
            <w:pPr>
              <w:jc w:val="left"/>
            </w:pPr>
            <w:r>
              <w:rPr>
                <w:rFonts w:ascii="Calibri" w:hAnsi="Calibri"/>
                <w:b/>
                <w:color w:val="FFFFFF"/>
                <w:sz w:val="19"/>
              </w:rPr>
              <w:t>Dataset Filename</w:t>
            </w:r>
          </w:p>
        </w:tc>
        <w:tc>
          <w:tcPr>
            <w:tcW w:type="dxa" w:w="1987"/>
            <w:shd w:fill="0F766E"/>
            <w:tcMar>
              <w:top w:w="120" w:type="dxa"/>
              <w:bottom w:w="120" w:type="dxa"/>
              <w:left w:w="150" w:type="dxa"/>
              <w:right w:w="150" w:type="dxa"/>
            </w:tcMar>
          </w:tcPr>
          <w:p>
            <w:pPr>
              <w:jc w:val="left"/>
            </w:pPr>
            <w:r>
              <w:rPr>
                <w:rFonts w:ascii="Calibri" w:hAnsi="Calibri"/>
                <w:b/>
                <w:color w:val="FFFFFF"/>
                <w:sz w:val="19"/>
              </w:rPr>
              <w:t>Total Rows</w:t>
            </w:r>
          </w:p>
        </w:tc>
        <w:tc>
          <w:tcPr>
            <w:tcW w:type="dxa" w:w="1987"/>
            <w:shd w:fill="0F766E"/>
            <w:tcMar>
              <w:top w:w="120" w:type="dxa"/>
              <w:bottom w:w="120" w:type="dxa"/>
              <w:left w:w="150" w:type="dxa"/>
              <w:right w:w="150" w:type="dxa"/>
            </w:tcMar>
          </w:tcPr>
          <w:p>
            <w:pPr>
              <w:jc w:val="left"/>
            </w:pPr>
            <w:r>
              <w:rPr>
                <w:rFonts w:ascii="Calibri" w:hAnsi="Calibri"/>
                <w:b/>
                <w:color w:val="FFFFFF"/>
                <w:sz w:val="19"/>
              </w:rPr>
              <w:t>Valid / Active</w:t>
            </w:r>
          </w:p>
        </w:tc>
        <w:tc>
          <w:tcPr>
            <w:tcW w:type="dxa" w:w="1987"/>
            <w:shd w:fill="0F766E"/>
            <w:tcMar>
              <w:top w:w="120" w:type="dxa"/>
              <w:bottom w:w="120" w:type="dxa"/>
              <w:left w:w="150" w:type="dxa"/>
              <w:right w:w="150" w:type="dxa"/>
            </w:tcMar>
          </w:tcPr>
          <w:p>
            <w:pPr>
              <w:jc w:val="left"/>
            </w:pPr>
            <w:r>
              <w:rPr>
                <w:rFonts w:ascii="Calibri" w:hAnsi="Calibri"/>
                <w:b/>
                <w:color w:val="FFFFFF"/>
                <w:sz w:val="19"/>
              </w:rPr>
              <w:t>Cols</w:t>
            </w:r>
          </w:p>
        </w:tc>
        <w:tc>
          <w:tcPr>
            <w:tcW w:type="dxa" w:w="1987"/>
            <w:shd w:fill="0F766E"/>
            <w:tcMar>
              <w:top w:w="120" w:type="dxa"/>
              <w:bottom w:w="120" w:type="dxa"/>
              <w:left w:w="150" w:type="dxa"/>
              <w:right w:w="150" w:type="dxa"/>
            </w:tcMar>
          </w:tcPr>
          <w:p>
            <w:pPr>
              <w:jc w:val="left"/>
            </w:pPr>
            <w:r>
              <w:rPr>
                <w:rFonts w:ascii="Calibri" w:hAnsi="Calibri"/>
                <w:b/>
                <w:color w:val="FFFFFF"/>
                <w:sz w:val="19"/>
              </w:rPr>
              <w:t>Data Nature &amp; Audit Status</w:t>
            </w:r>
          </w:p>
        </w:tc>
      </w:tr>
      <w:tr>
        <w:tc>
          <w:tcPr>
            <w:tcW w:type="dxa" w:w="1987"/>
            <w:shd w:fill="F8FAFC"/>
            <w:tcMar>
              <w:top w:w="100" w:type="dxa"/>
              <w:bottom w:w="100" w:type="dxa"/>
              <w:left w:w="150" w:type="dxa"/>
              <w:right w:w="150" w:type="dxa"/>
            </w:tcMar>
          </w:tcPr>
          <w:p>
            <w:r>
              <w:rPr>
                <w:rFonts w:ascii="Calibri" w:hAnsi="Calibri"/>
                <w:sz w:val="18"/>
              </w:rPr>
              <w:t>pvt_costs.csv</w:t>
            </w:r>
          </w:p>
        </w:tc>
        <w:tc>
          <w:tcPr>
            <w:tcW w:type="dxa" w:w="1987"/>
            <w:shd w:fill="F8FAFC"/>
            <w:tcMar>
              <w:top w:w="100" w:type="dxa"/>
              <w:bottom w:w="100" w:type="dxa"/>
              <w:left w:w="150" w:type="dxa"/>
              <w:right w:w="150" w:type="dxa"/>
            </w:tcMar>
          </w:tcPr>
          <w:p>
            <w:r>
              <w:rPr>
                <w:rFonts w:ascii="Calibri" w:hAnsi="Calibri"/>
                <w:sz w:val="18"/>
              </w:rPr>
              <w:t>184</w:t>
            </w:r>
          </w:p>
        </w:tc>
        <w:tc>
          <w:tcPr>
            <w:tcW w:type="dxa" w:w="1987"/>
            <w:shd w:fill="F8FAFC"/>
            <w:tcMar>
              <w:top w:w="100" w:type="dxa"/>
              <w:bottom w:w="100" w:type="dxa"/>
              <w:left w:w="150" w:type="dxa"/>
              <w:right w:w="150" w:type="dxa"/>
            </w:tcMar>
          </w:tcPr>
          <w:p>
            <w:r>
              <w:rPr>
                <w:rFonts w:ascii="Calibri" w:hAnsi="Calibri"/>
                <w:sz w:val="18"/>
              </w:rPr>
              <w:t>184</w:t>
            </w:r>
          </w:p>
        </w:tc>
        <w:tc>
          <w:tcPr>
            <w:tcW w:type="dxa" w:w="1987"/>
            <w:shd w:fill="F8FAFC"/>
            <w:tcMar>
              <w:top w:w="100" w:type="dxa"/>
              <w:bottom w:w="100" w:type="dxa"/>
              <w:left w:w="150" w:type="dxa"/>
              <w:right w:w="150" w:type="dxa"/>
            </w:tcMar>
          </w:tcPr>
          <w:p>
            <w:r>
              <w:rPr>
                <w:rFonts w:ascii="Calibri" w:hAnsi="Calibri"/>
                <w:sz w:val="18"/>
              </w:rPr>
              <w:t>10</w:t>
            </w:r>
          </w:p>
        </w:tc>
        <w:tc>
          <w:tcPr>
            <w:tcW w:type="dxa" w:w="1987"/>
            <w:shd w:fill="F8FAFC"/>
            <w:tcMar>
              <w:top w:w="100" w:type="dxa"/>
              <w:bottom w:w="100" w:type="dxa"/>
              <w:left w:w="150" w:type="dxa"/>
              <w:right w:w="150" w:type="dxa"/>
            </w:tcMar>
          </w:tcPr>
          <w:p>
            <w:r>
              <w:rPr>
                <w:rFonts w:ascii="Calibri" w:hAnsi="Calibri"/>
                <w:sz w:val="18"/>
              </w:rPr>
              <w:t>Synthetic/Curated Grid (23 procedures x 8 tiers). No real hospital encounters.</w:t>
            </w:r>
          </w:p>
        </w:tc>
      </w:tr>
      <w:tr>
        <w:tc>
          <w:tcPr>
            <w:tcW w:type="dxa" w:w="1987"/>
            <w:shd w:fill="FFFFFF"/>
            <w:tcMar>
              <w:top w:w="100" w:type="dxa"/>
              <w:bottom w:w="100" w:type="dxa"/>
              <w:left w:w="150" w:type="dxa"/>
              <w:right w:w="150" w:type="dxa"/>
            </w:tcMar>
          </w:tcPr>
          <w:p>
            <w:r>
              <w:rPr>
                <w:rFonts w:ascii="Calibri" w:hAnsi="Calibri"/>
                <w:sz w:val="18"/>
              </w:rPr>
              <w:t>govt_costs.csv</w:t>
            </w:r>
          </w:p>
        </w:tc>
        <w:tc>
          <w:tcPr>
            <w:tcW w:type="dxa" w:w="1987"/>
            <w:shd w:fill="FFFFFF"/>
            <w:tcMar>
              <w:top w:w="100" w:type="dxa"/>
              <w:bottom w:w="100" w:type="dxa"/>
              <w:left w:w="150" w:type="dxa"/>
              <w:right w:w="150" w:type="dxa"/>
            </w:tcMar>
          </w:tcPr>
          <w:p>
            <w:r>
              <w:rPr>
                <w:rFonts w:ascii="Calibri" w:hAnsi="Calibri"/>
                <w:sz w:val="18"/>
              </w:rPr>
              <w:t>184</w:t>
            </w:r>
          </w:p>
        </w:tc>
        <w:tc>
          <w:tcPr>
            <w:tcW w:type="dxa" w:w="1987"/>
            <w:shd w:fill="FFFFFF"/>
            <w:tcMar>
              <w:top w:w="100" w:type="dxa"/>
              <w:bottom w:w="100" w:type="dxa"/>
              <w:left w:w="150" w:type="dxa"/>
              <w:right w:w="150" w:type="dxa"/>
            </w:tcMar>
          </w:tcPr>
          <w:p>
            <w:r>
              <w:rPr>
                <w:rFonts w:ascii="Calibri" w:hAnsi="Calibri"/>
                <w:sz w:val="18"/>
              </w:rPr>
              <w:t>184</w:t>
            </w:r>
          </w:p>
        </w:tc>
        <w:tc>
          <w:tcPr>
            <w:tcW w:type="dxa" w:w="1987"/>
            <w:shd w:fill="FFFFFF"/>
            <w:tcMar>
              <w:top w:w="100" w:type="dxa"/>
              <w:bottom w:w="100" w:type="dxa"/>
              <w:left w:w="150" w:type="dxa"/>
              <w:right w:w="150" w:type="dxa"/>
            </w:tcMar>
          </w:tcPr>
          <w:p>
            <w:r>
              <w:rPr>
                <w:rFonts w:ascii="Calibri" w:hAnsi="Calibri"/>
                <w:sz w:val="18"/>
              </w:rPr>
              <w:t>10</w:t>
            </w:r>
          </w:p>
        </w:tc>
        <w:tc>
          <w:tcPr>
            <w:tcW w:type="dxa" w:w="1987"/>
            <w:shd w:fill="FFFFFF"/>
            <w:tcMar>
              <w:top w:w="100" w:type="dxa"/>
              <w:bottom w:w="100" w:type="dxa"/>
              <w:left w:w="150" w:type="dxa"/>
              <w:right w:w="150" w:type="dxa"/>
            </w:tcMar>
          </w:tcPr>
          <w:p>
            <w:r>
              <w:rPr>
                <w:rFonts w:ascii="Calibri" w:hAnsi="Calibri"/>
                <w:sz w:val="18"/>
              </w:rPr>
              <w:t>Statutory Government Tariff Reference Grid (23 procedures x 8 tiers).</w:t>
            </w:r>
          </w:p>
        </w:tc>
      </w:tr>
      <w:tr>
        <w:tc>
          <w:tcPr>
            <w:tcW w:type="dxa" w:w="1987"/>
            <w:shd w:fill="F8FAFC"/>
            <w:tcMar>
              <w:top w:w="100" w:type="dxa"/>
              <w:bottom w:w="100" w:type="dxa"/>
              <w:left w:w="150" w:type="dxa"/>
              <w:right w:w="150" w:type="dxa"/>
            </w:tcMar>
          </w:tcPr>
          <w:p>
            <w:r>
              <w:rPr>
                <w:rFonts w:ascii="Calibri" w:hAnsi="Calibri"/>
                <w:sz w:val="18"/>
              </w:rPr>
              <w:t>treatment_cost_benchmarks.csv</w:t>
            </w:r>
          </w:p>
        </w:tc>
        <w:tc>
          <w:tcPr>
            <w:tcW w:type="dxa" w:w="1987"/>
            <w:shd w:fill="F8FAFC"/>
            <w:tcMar>
              <w:top w:w="100" w:type="dxa"/>
              <w:bottom w:w="100" w:type="dxa"/>
              <w:left w:w="150" w:type="dxa"/>
              <w:right w:w="150" w:type="dxa"/>
            </w:tcMar>
          </w:tcPr>
          <w:p>
            <w:r>
              <w:rPr>
                <w:rFonts w:ascii="Calibri" w:hAnsi="Calibri"/>
                <w:sz w:val="18"/>
              </w:rPr>
              <w:t>38</w:t>
            </w:r>
          </w:p>
        </w:tc>
        <w:tc>
          <w:tcPr>
            <w:tcW w:type="dxa" w:w="1987"/>
            <w:shd w:fill="F8FAFC"/>
            <w:tcMar>
              <w:top w:w="100" w:type="dxa"/>
              <w:bottom w:w="100" w:type="dxa"/>
              <w:left w:w="150" w:type="dxa"/>
              <w:right w:w="150" w:type="dxa"/>
            </w:tcMar>
          </w:tcPr>
          <w:p>
            <w:r>
              <w:rPr>
                <w:rFonts w:ascii="Calibri" w:hAnsi="Calibri"/>
                <w:sz w:val="18"/>
              </w:rPr>
              <w:t>8</w:t>
            </w:r>
          </w:p>
        </w:tc>
        <w:tc>
          <w:tcPr>
            <w:tcW w:type="dxa" w:w="1987"/>
            <w:shd w:fill="F8FAFC"/>
            <w:tcMar>
              <w:top w:w="100" w:type="dxa"/>
              <w:bottom w:w="100" w:type="dxa"/>
              <w:left w:w="150" w:type="dxa"/>
              <w:right w:w="150" w:type="dxa"/>
            </w:tcMar>
          </w:tcPr>
          <w:p>
            <w:r>
              <w:rPr>
                <w:rFonts w:ascii="Calibri" w:hAnsi="Calibri"/>
                <w:sz w:val="18"/>
              </w:rPr>
              <w:t>29</w:t>
            </w:r>
          </w:p>
        </w:tc>
        <w:tc>
          <w:tcPr>
            <w:tcW w:type="dxa" w:w="1987"/>
            <w:shd w:fill="F8FAFC"/>
            <w:tcMar>
              <w:top w:w="100" w:type="dxa"/>
              <w:bottom w:w="100" w:type="dxa"/>
              <w:left w:w="150" w:type="dxa"/>
              <w:right w:w="150" w:type="dxa"/>
            </w:tcMar>
          </w:tcPr>
          <w:p>
            <w:r>
              <w:rPr>
                <w:rFonts w:ascii="Calibri" w:hAnsi="Calibri"/>
                <w:sz w:val="18"/>
              </w:rPr>
              <w:t>8 verified AB-PMJAY government packages. 30 unverified rows deactivated.</w:t>
            </w:r>
          </w:p>
        </w:tc>
      </w:tr>
      <w:tr>
        <w:tc>
          <w:tcPr>
            <w:tcW w:type="dxa" w:w="1987"/>
            <w:shd w:fill="FFFFFF"/>
            <w:tcMar>
              <w:top w:w="100" w:type="dxa"/>
              <w:bottom w:w="100" w:type="dxa"/>
              <w:left w:w="150" w:type="dxa"/>
              <w:right w:w="150" w:type="dxa"/>
            </w:tcMar>
          </w:tcPr>
          <w:p>
            <w:r>
              <w:rPr>
                <w:rFonts w:ascii="Calibri" w:hAnsi="Calibri"/>
                <w:sz w:val="18"/>
              </w:rPr>
              <w:t>hospitals.csv</w:t>
            </w:r>
          </w:p>
        </w:tc>
        <w:tc>
          <w:tcPr>
            <w:tcW w:type="dxa" w:w="1987"/>
            <w:shd w:fill="FFFFFF"/>
            <w:tcMar>
              <w:top w:w="100" w:type="dxa"/>
              <w:bottom w:w="100" w:type="dxa"/>
              <w:left w:w="150" w:type="dxa"/>
              <w:right w:w="150" w:type="dxa"/>
            </w:tcMar>
          </w:tcPr>
          <w:p>
            <w:r>
              <w:rPr>
                <w:rFonts w:ascii="Calibri" w:hAnsi="Calibri"/>
                <w:sz w:val="18"/>
              </w:rPr>
              <w:t>52,978</w:t>
            </w:r>
          </w:p>
        </w:tc>
        <w:tc>
          <w:tcPr>
            <w:tcW w:type="dxa" w:w="1987"/>
            <w:shd w:fill="FFFFFF"/>
            <w:tcMar>
              <w:top w:w="100" w:type="dxa"/>
              <w:bottom w:w="100" w:type="dxa"/>
              <w:left w:w="150" w:type="dxa"/>
              <w:right w:w="150" w:type="dxa"/>
            </w:tcMar>
          </w:tcPr>
          <w:p>
            <w:r>
              <w:rPr>
                <w:rFonts w:ascii="Calibri" w:hAnsi="Calibri"/>
                <w:sz w:val="18"/>
              </w:rPr>
              <w:t>52,978</w:t>
            </w:r>
          </w:p>
        </w:tc>
        <w:tc>
          <w:tcPr>
            <w:tcW w:type="dxa" w:w="1987"/>
            <w:shd w:fill="FFFFFF"/>
            <w:tcMar>
              <w:top w:w="100" w:type="dxa"/>
              <w:bottom w:w="100" w:type="dxa"/>
              <w:left w:w="150" w:type="dxa"/>
              <w:right w:w="150" w:type="dxa"/>
            </w:tcMar>
          </w:tcPr>
          <w:p>
            <w:r>
              <w:rPr>
                <w:rFonts w:ascii="Calibri" w:hAnsi="Calibri"/>
                <w:sz w:val="18"/>
              </w:rPr>
              <w:t>8</w:t>
            </w:r>
          </w:p>
        </w:tc>
        <w:tc>
          <w:tcPr>
            <w:tcW w:type="dxa" w:w="1987"/>
            <w:shd w:fill="FFFFFF"/>
            <w:tcMar>
              <w:top w:w="100" w:type="dxa"/>
              <w:bottom w:w="100" w:type="dxa"/>
              <w:left w:w="150" w:type="dxa"/>
              <w:right w:w="150" w:type="dxa"/>
            </w:tcMar>
          </w:tcPr>
          <w:p>
            <w:r>
              <w:rPr>
                <w:rFonts w:ascii="Calibri" w:hAnsi="Calibri"/>
                <w:sz w:val="18"/>
              </w:rPr>
              <w:t>Registry of Indian hospitals, addresses, empanelled insurers, and ratings.</w:t>
            </w:r>
          </w:p>
        </w:tc>
      </w:tr>
    </w:tbl>
    <w:p/>
    <w:p>
      <w:pPr>
        <w:pStyle w:val="Heading1"/>
      </w:pPr>
      <w:r>
        <w:t>5. Exact Baseline and Fallback Formulas</w:t>
      </w:r>
    </w:p>
    <w:p>
      <w:r>
        <w:t>CostIntelligenceService.findBenchmark() enforces an uncompromising 5-level hierarchy:</w:t>
      </w:r>
    </w:p>
    <w:p>
      <w:r>
        <w:t>Level 1 (Hospital-Specific): Requires benchmark_level === 'hospital_specific' and matching hospital name. (Currently 0 active verified records).</w:t>
      </w:r>
    </w:p>
    <w:p>
      <w:r>
        <w:t>Level 2 (State / Regional Benchmark): Requires benchmark_level === 'state_benchmark' and city matching Maharashtra list. (Currently 0 active verified records).</w:t>
      </w:r>
    </w:p>
    <w:p>
      <w:r>
        <w:t>Level 3 (National Benchmark): Requires benchmark_level === 'national_benchmark'. (Currently 0 active verified records).</w:t>
      </w:r>
    </w:p>
    <w:p>
      <w:r>
        <w:t>Level 4 (Government Package Rate): Requires benchmark_level === 'government_package'. Exactly 8 active records match (AB-PMJAY HBP 2.2). Output is flagged with mandatory statutory reference notice.</w:t>
      </w:r>
    </w:p>
    <w:p>
      <w:r>
        <w:t>Level 5 (Defensive Domain Refusal): If no verified benchmark matches, the system returns available: false, refusing to fabricate an insurance payout. ML estimate is surfaced solely as an informational 'model_reference'.</w:t>
      </w:r>
    </w:p>
    <w:p>
      <w:pPr>
        <w:pStyle w:val="Heading1"/>
      </w:pPr>
      <w:r>
        <w:t>6. Worked Prediction Example</w:t>
      </w:r>
    </w:p>
    <w:p>
      <w:r>
        <w:t>Scenario: Total Knee Replacement in Pune (Metro 2) at a Network Private Hospital.</w:t>
      </w:r>
    </w:p>
    <w:p>
      <w:r>
        <w:t>• User Policy: Sum Insured = ₹5,00,000 | Room Rent Limit = 1% (₹5,000/day) | Co-pay = 10% | Proportionate Deduction = Active.</w:t>
      </w:r>
    </w:p>
    <w:p>
      <w:r>
        <w:t>• Benchmark Lookup: Matches COST_GOVT_001 (AB-PMJAY HBP 2.2). Statutory reference rate = ₹80,000.</w:t>
      </w:r>
    </w:p>
    <w:p>
      <w:r>
        <w:t>• ML Driver Regressor (Ridge): Intercept ₹91,533 + Procedure (Knee Replacement: +₹1,58,420) + Tier (Metro 2: -₹12,410) + Stay (5 days: +₹14,200) = Predicted Private Mean Cost: ~₹2.43 Lakh (₹2,43,393). Top driver: Surgical Complexity (+₹1,58,420).</w:t>
      </w:r>
    </w:p>
    <w:p>
      <w:r>
        <w:t>• Total Bill Assembly: Treatment Base (₹80,000) + Room Rent (4 days x ₹2,500 = ₹10,000) = Total Bill: ₹90,000.</w:t>
      </w:r>
    </w:p>
    <w:p>
      <w:r>
        <w:t>• Financial Engine Adjudication: Actual room rent (₹2,500) &lt; Policy limit (₹5,000) -&gt; ₹0 proportionate deduction disallowance. Co-payment 10% on ₹90,000 = ₹9,000. Insurer Estimated Share = ₹81,000. Estimated Patient Out-of-Pocket = ₹9,000.</w:t>
      </w:r>
    </w:p>
    <w:p>
      <w:pPr>
        <w:pStyle w:val="Heading1"/>
      </w:pPr>
      <w:r>
        <w:t>7. Prediction Target and Feature Definitions</w:t>
      </w:r>
    </w:p>
    <w:p>
      <w:r>
        <w:t>Target Variable: mean_cost (continuous float in INR), representing baseline private hospital surgical tariff excluding room rent.</w:t>
      </w:r>
    </w:p>
    <w:p>
      <w:r>
        <w:t>Feature Space (39 Features):</w:t>
      </w:r>
    </w:p>
    <w:p>
      <w:r>
        <w:t>• 23 One-Hot Procedure Indicators: proc:Knee Replacement, proc:CABG, proc:Angioplasty, etc.</w:t>
      </w:r>
    </w:p>
    <w:p>
      <w:r>
        <w:t>• 7 One-Hot Specialty Indicators: spec:Orthopedics, spec:Cardiology, spec:General Surgery, etc.</w:t>
      </w:r>
    </w:p>
    <w:p>
      <w:r>
        <w:t>• 8 One-Hot Geographic Tier Indicators: tier:Metro 1 through tier:Town 2.</w:t>
      </w:r>
    </w:p>
    <w:p>
      <w:r>
        <w:t>• 1 Continuous Clinical Parameter: expected_stay_days (validated range [0, 30] days).</w:t>
      </w:r>
    </w:p>
    <w:p>
      <w:pPr>
        <w:pStyle w:val="Heading1"/>
      </w:pPr>
      <w:r>
        <w:t>8. Evaluation Methodology and Verified Metrics</w:t>
      </w:r>
    </w:p>
    <w:p>
      <w:r>
        <w:t>Metrics verified via scripts/run_ml_and_report_evaluation.py across cross-validation splits: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766E"/>
            <w:tcMar>
              <w:top w:w="120" w:type="dxa"/>
              <w:bottom w:w="120" w:type="dxa"/>
              <w:left w:w="150" w:type="dxa"/>
              <w:right w:w="150" w:type="dxa"/>
            </w:tcMar>
          </w:tcPr>
          <w:p>
            <w:pPr>
              <w:jc w:val="left"/>
            </w:pPr>
            <w:r>
              <w:rPr>
                <w:rFonts w:ascii="Calibri" w:hAnsi="Calibri"/>
                <w:b/>
                <w:color w:val="FFFFFF"/>
                <w:sz w:val="19"/>
              </w:rPr>
              <w:t>Validation Strategy / Candidate</w:t>
            </w:r>
          </w:p>
        </w:tc>
        <w:tc>
          <w:tcPr>
            <w:tcW w:type="dxa" w:w="1987"/>
            <w:shd w:fill="0F766E"/>
            <w:tcMar>
              <w:top w:w="120" w:type="dxa"/>
              <w:bottom w:w="120" w:type="dxa"/>
              <w:left w:w="150" w:type="dxa"/>
              <w:right w:w="150" w:type="dxa"/>
            </w:tcMar>
          </w:tcPr>
          <w:p>
            <w:pPr>
              <w:jc w:val="left"/>
            </w:pPr>
            <w:r>
              <w:rPr>
                <w:rFonts w:ascii="Calibri" w:hAnsi="Calibri"/>
                <w:b/>
                <w:color w:val="FFFFFF"/>
                <w:sz w:val="19"/>
              </w:rPr>
              <w:t>MAE (INR)</w:t>
            </w:r>
          </w:p>
        </w:tc>
        <w:tc>
          <w:tcPr>
            <w:tcW w:type="dxa" w:w="1987"/>
            <w:shd w:fill="0F766E"/>
            <w:tcMar>
              <w:top w:w="120" w:type="dxa"/>
              <w:bottom w:w="120" w:type="dxa"/>
              <w:left w:w="150" w:type="dxa"/>
              <w:right w:w="150" w:type="dxa"/>
            </w:tcMar>
          </w:tcPr>
          <w:p>
            <w:pPr>
              <w:jc w:val="left"/>
            </w:pPr>
            <w:r>
              <w:rPr>
                <w:rFonts w:ascii="Calibri" w:hAnsi="Calibri"/>
                <w:b/>
                <w:color w:val="FFFFFF"/>
                <w:sz w:val="19"/>
              </w:rPr>
              <w:t>RMSE (INR)</w:t>
            </w:r>
          </w:p>
        </w:tc>
        <w:tc>
          <w:tcPr>
            <w:tcW w:type="dxa" w:w="1987"/>
            <w:shd w:fill="0F766E"/>
            <w:tcMar>
              <w:top w:w="120" w:type="dxa"/>
              <w:bottom w:w="120" w:type="dxa"/>
              <w:left w:w="150" w:type="dxa"/>
              <w:right w:w="150" w:type="dxa"/>
            </w:tcMar>
          </w:tcPr>
          <w:p>
            <w:pPr>
              <w:jc w:val="left"/>
            </w:pPr>
            <w:r>
              <w:rPr>
                <w:rFonts w:ascii="Calibri" w:hAnsi="Calibri"/>
                <w:b/>
                <w:color w:val="FFFFFF"/>
                <w:sz w:val="19"/>
              </w:rPr>
              <w:t>R² Score</w:t>
            </w:r>
          </w:p>
        </w:tc>
        <w:tc>
          <w:tcPr>
            <w:tcW w:type="dxa" w:w="1987"/>
            <w:shd w:fill="0F766E"/>
            <w:tcMar>
              <w:top w:w="120" w:type="dxa"/>
              <w:bottom w:w="120" w:type="dxa"/>
              <w:left w:w="150" w:type="dxa"/>
              <w:right w:w="150" w:type="dxa"/>
            </w:tcMar>
          </w:tcPr>
          <w:p>
            <w:pPr>
              <w:jc w:val="left"/>
            </w:pPr>
            <w:r>
              <w:rPr>
                <w:rFonts w:ascii="Calibri" w:hAnsi="Calibri"/>
                <w:b/>
                <w:color w:val="FFFFFF"/>
                <w:sz w:val="19"/>
              </w:rPr>
              <w:t>Median AE (INR)</w:t>
            </w:r>
          </w:p>
        </w:tc>
      </w:tr>
      <w:tr>
        <w:tc>
          <w:tcPr>
            <w:tcW w:type="dxa" w:w="1987"/>
            <w:shd w:fill="F8FAFC"/>
            <w:tcMar>
              <w:top w:w="100" w:type="dxa"/>
              <w:bottom w:w="100" w:type="dxa"/>
              <w:left w:w="150" w:type="dxa"/>
              <w:right w:w="150" w:type="dxa"/>
            </w:tcMar>
          </w:tcPr>
          <w:p>
            <w:r>
              <w:rPr>
                <w:rFonts w:ascii="Calibri" w:hAnsi="Calibri"/>
                <w:sz w:val="18"/>
              </w:rPr>
              <w:t>10-Fold CV (Ridge alpha=1.0 - Production)</w:t>
            </w:r>
          </w:p>
        </w:tc>
        <w:tc>
          <w:tcPr>
            <w:tcW w:type="dxa" w:w="1987"/>
            <w:shd w:fill="F8FAFC"/>
            <w:tcMar>
              <w:top w:w="100" w:type="dxa"/>
              <w:bottom w:w="100" w:type="dxa"/>
              <w:left w:w="150" w:type="dxa"/>
              <w:right w:w="150" w:type="dxa"/>
            </w:tcMar>
          </w:tcPr>
          <w:p>
            <w:r>
              <w:rPr>
                <w:rFonts w:ascii="Calibri" w:hAnsi="Calibri"/>
                <w:sz w:val="18"/>
              </w:rPr>
              <w:t>₹45,468</w:t>
            </w:r>
          </w:p>
        </w:tc>
        <w:tc>
          <w:tcPr>
            <w:tcW w:type="dxa" w:w="1987"/>
            <w:shd w:fill="F8FAFC"/>
            <w:tcMar>
              <w:top w:w="100" w:type="dxa"/>
              <w:bottom w:w="100" w:type="dxa"/>
              <w:left w:w="150" w:type="dxa"/>
              <w:right w:w="150" w:type="dxa"/>
            </w:tcMar>
          </w:tcPr>
          <w:p>
            <w:r>
              <w:rPr>
                <w:rFonts w:ascii="Calibri" w:hAnsi="Calibri"/>
                <w:sz w:val="18"/>
              </w:rPr>
              <w:t>₹106,606</w:t>
            </w:r>
          </w:p>
        </w:tc>
        <w:tc>
          <w:tcPr>
            <w:tcW w:type="dxa" w:w="1987"/>
            <w:shd w:fill="F8FAFC"/>
            <w:tcMar>
              <w:top w:w="100" w:type="dxa"/>
              <w:bottom w:w="100" w:type="dxa"/>
              <w:left w:w="150" w:type="dxa"/>
              <w:right w:w="150" w:type="dxa"/>
            </w:tcMar>
          </w:tcPr>
          <w:p>
            <w:r>
              <w:rPr>
                <w:rFonts w:ascii="Calibri" w:hAnsi="Calibri"/>
                <w:sz w:val="18"/>
              </w:rPr>
              <w:t>0.3037</w:t>
            </w:r>
          </w:p>
        </w:tc>
        <w:tc>
          <w:tcPr>
            <w:tcW w:type="dxa" w:w="1987"/>
            <w:shd w:fill="F8FAFC"/>
            <w:tcMar>
              <w:top w:w="100" w:type="dxa"/>
              <w:bottom w:w="100" w:type="dxa"/>
              <w:left w:w="150" w:type="dxa"/>
              <w:right w:w="150" w:type="dxa"/>
            </w:tcMar>
          </w:tcPr>
          <w:p>
            <w:r>
              <w:rPr>
                <w:rFonts w:ascii="Calibri" w:hAnsi="Calibri"/>
                <w:sz w:val="18"/>
              </w:rPr>
              <w:t>₹22,309</w:t>
            </w:r>
          </w:p>
        </w:tc>
      </w:tr>
      <w:tr>
        <w:tc>
          <w:tcPr>
            <w:tcW w:type="dxa" w:w="1987"/>
            <w:shd w:fill="FFFFFF"/>
            <w:tcMar>
              <w:top w:w="100" w:type="dxa"/>
              <w:bottom w:w="100" w:type="dxa"/>
              <w:left w:w="150" w:type="dxa"/>
              <w:right w:w="150" w:type="dxa"/>
            </w:tcMar>
          </w:tcPr>
          <w:p>
            <w:r>
              <w:rPr>
                <w:rFonts w:ascii="Calibri" w:hAnsi="Calibri"/>
                <w:sz w:val="18"/>
              </w:rPr>
              <w:t>Candidate: Gradient Boosting</w:t>
            </w:r>
          </w:p>
        </w:tc>
        <w:tc>
          <w:tcPr>
            <w:tcW w:type="dxa" w:w="1987"/>
            <w:shd w:fill="FFFFFF"/>
            <w:tcMar>
              <w:top w:w="100" w:type="dxa"/>
              <w:bottom w:w="100" w:type="dxa"/>
              <w:left w:w="150" w:type="dxa"/>
              <w:right w:w="150" w:type="dxa"/>
            </w:tcMar>
          </w:tcPr>
          <w:p>
            <w:r>
              <w:rPr>
                <w:rFonts w:ascii="Calibri" w:hAnsi="Calibri"/>
                <w:sz w:val="18"/>
              </w:rPr>
              <w:t>₹33,335</w:t>
            </w:r>
          </w:p>
        </w:tc>
        <w:tc>
          <w:tcPr>
            <w:tcW w:type="dxa" w:w="1987"/>
            <w:shd w:fill="FFFFFF"/>
            <w:tcMar>
              <w:top w:w="100" w:type="dxa"/>
              <w:bottom w:w="100" w:type="dxa"/>
              <w:left w:w="150" w:type="dxa"/>
              <w:right w:w="150" w:type="dxa"/>
            </w:tcMar>
          </w:tcPr>
          <w:p>
            <w:r>
              <w:rPr>
                <w:rFonts w:ascii="Calibri" w:hAnsi="Calibri"/>
                <w:sz w:val="18"/>
              </w:rPr>
              <w:t>₹111,374</w:t>
            </w:r>
          </w:p>
        </w:tc>
        <w:tc>
          <w:tcPr>
            <w:tcW w:type="dxa" w:w="1987"/>
            <w:shd w:fill="FFFFFF"/>
            <w:tcMar>
              <w:top w:w="100" w:type="dxa"/>
              <w:bottom w:w="100" w:type="dxa"/>
              <w:left w:w="150" w:type="dxa"/>
              <w:right w:w="150" w:type="dxa"/>
            </w:tcMar>
          </w:tcPr>
          <w:p>
            <w:r>
              <w:rPr>
                <w:rFonts w:ascii="Calibri" w:hAnsi="Calibri"/>
                <w:sz w:val="18"/>
              </w:rPr>
              <w:t>0.2400</w:t>
            </w:r>
          </w:p>
        </w:tc>
        <w:tc>
          <w:tcPr>
            <w:tcW w:type="dxa" w:w="1987"/>
            <w:shd w:fill="FFFFFF"/>
            <w:tcMar>
              <w:top w:w="100" w:type="dxa"/>
              <w:bottom w:w="100" w:type="dxa"/>
              <w:left w:w="150" w:type="dxa"/>
              <w:right w:w="150" w:type="dxa"/>
            </w:tcMar>
          </w:tcPr>
          <w:p>
            <w:r>
              <w:rPr>
                <w:rFonts w:ascii="Calibri" w:hAnsi="Calibri"/>
                <w:sz w:val="18"/>
              </w:rPr>
              <w:t>₹13,971</w:t>
            </w:r>
          </w:p>
        </w:tc>
      </w:tr>
      <w:tr>
        <w:tc>
          <w:tcPr>
            <w:tcW w:type="dxa" w:w="1987"/>
            <w:shd w:fill="F8FAFC"/>
            <w:tcMar>
              <w:top w:w="100" w:type="dxa"/>
              <w:bottom w:w="100" w:type="dxa"/>
              <w:left w:w="150" w:type="dxa"/>
              <w:right w:w="150" w:type="dxa"/>
            </w:tcMar>
          </w:tcPr>
          <w:p>
            <w:r>
              <w:rPr>
                <w:rFonts w:ascii="Calibri" w:hAnsi="Calibri"/>
                <w:sz w:val="18"/>
              </w:rPr>
              <w:t>Candidate: Random Forest</w:t>
            </w:r>
          </w:p>
        </w:tc>
        <w:tc>
          <w:tcPr>
            <w:tcW w:type="dxa" w:w="1987"/>
            <w:shd w:fill="F8FAFC"/>
            <w:tcMar>
              <w:top w:w="100" w:type="dxa"/>
              <w:bottom w:w="100" w:type="dxa"/>
              <w:left w:w="150" w:type="dxa"/>
              <w:right w:w="150" w:type="dxa"/>
            </w:tcMar>
          </w:tcPr>
          <w:p>
            <w:r>
              <w:rPr>
                <w:rFonts w:ascii="Calibri" w:hAnsi="Calibri"/>
                <w:sz w:val="18"/>
              </w:rPr>
              <w:t>₹41,502</w:t>
            </w:r>
          </w:p>
        </w:tc>
        <w:tc>
          <w:tcPr>
            <w:tcW w:type="dxa" w:w="1987"/>
            <w:shd w:fill="F8FAFC"/>
            <w:tcMar>
              <w:top w:w="100" w:type="dxa"/>
              <w:bottom w:w="100" w:type="dxa"/>
              <w:left w:w="150" w:type="dxa"/>
              <w:right w:w="150" w:type="dxa"/>
            </w:tcMar>
          </w:tcPr>
          <w:p>
            <w:r>
              <w:rPr>
                <w:rFonts w:ascii="Calibri" w:hAnsi="Calibri"/>
                <w:sz w:val="18"/>
              </w:rPr>
              <w:t>₹116,432</w:t>
            </w:r>
          </w:p>
        </w:tc>
        <w:tc>
          <w:tcPr>
            <w:tcW w:type="dxa" w:w="1987"/>
            <w:shd w:fill="F8FAFC"/>
            <w:tcMar>
              <w:top w:w="100" w:type="dxa"/>
              <w:bottom w:w="100" w:type="dxa"/>
              <w:left w:w="150" w:type="dxa"/>
              <w:right w:w="150" w:type="dxa"/>
            </w:tcMar>
          </w:tcPr>
          <w:p>
            <w:r>
              <w:rPr>
                <w:rFonts w:ascii="Calibri" w:hAnsi="Calibri"/>
                <w:sz w:val="18"/>
              </w:rPr>
              <w:t>0.1694</w:t>
            </w:r>
          </w:p>
        </w:tc>
        <w:tc>
          <w:tcPr>
            <w:tcW w:type="dxa" w:w="1987"/>
            <w:shd w:fill="F8FAFC"/>
            <w:tcMar>
              <w:top w:w="100" w:type="dxa"/>
              <w:bottom w:w="100" w:type="dxa"/>
              <w:left w:w="150" w:type="dxa"/>
              <w:right w:w="150" w:type="dxa"/>
            </w:tcMar>
          </w:tcPr>
          <w:p>
            <w:r>
              <w:rPr>
                <w:rFonts w:ascii="Calibri" w:hAnsi="Calibri"/>
                <w:sz w:val="18"/>
              </w:rPr>
              <w:t>₹20,884</w:t>
            </w:r>
          </w:p>
        </w:tc>
      </w:tr>
      <w:tr>
        <w:tc>
          <w:tcPr>
            <w:tcW w:type="dxa" w:w="1987"/>
            <w:shd w:fill="FFFFFF"/>
            <w:tcMar>
              <w:top w:w="100" w:type="dxa"/>
              <w:bottom w:w="100" w:type="dxa"/>
              <w:left w:w="150" w:type="dxa"/>
              <w:right w:w="150" w:type="dxa"/>
            </w:tcMar>
          </w:tcPr>
          <w:p>
            <w:r>
              <w:rPr>
                <w:rFonts w:ascii="Calibri" w:hAnsi="Calibri"/>
                <w:sz w:val="18"/>
              </w:rPr>
              <w:t>Grouped 5-Fold CV (Unseen Procedure)</w:t>
            </w:r>
          </w:p>
        </w:tc>
        <w:tc>
          <w:tcPr>
            <w:tcW w:type="dxa" w:w="1987"/>
            <w:shd w:fill="FFFFFF"/>
            <w:tcMar>
              <w:top w:w="100" w:type="dxa"/>
              <w:bottom w:w="100" w:type="dxa"/>
              <w:left w:w="150" w:type="dxa"/>
              <w:right w:w="150" w:type="dxa"/>
            </w:tcMar>
          </w:tcPr>
          <w:p>
            <w:r>
              <w:rPr>
                <w:rFonts w:ascii="Calibri" w:hAnsi="Calibri"/>
                <w:sz w:val="18"/>
              </w:rPr>
              <w:t>₹64,321</w:t>
            </w:r>
          </w:p>
        </w:tc>
        <w:tc>
          <w:tcPr>
            <w:tcW w:type="dxa" w:w="1987"/>
            <w:shd w:fill="FFFFFF"/>
            <w:tcMar>
              <w:top w:w="100" w:type="dxa"/>
              <w:bottom w:w="100" w:type="dxa"/>
              <w:left w:w="150" w:type="dxa"/>
              <w:right w:w="150" w:type="dxa"/>
            </w:tcMar>
          </w:tcPr>
          <w:p>
            <w:r>
              <w:rPr>
                <w:rFonts w:ascii="Calibri" w:hAnsi="Calibri"/>
                <w:sz w:val="18"/>
              </w:rPr>
              <w:t>₹111,971</w:t>
            </w:r>
          </w:p>
        </w:tc>
        <w:tc>
          <w:tcPr>
            <w:tcW w:type="dxa" w:w="1987"/>
            <w:shd w:fill="FFFFFF"/>
            <w:tcMar>
              <w:top w:w="100" w:type="dxa"/>
              <w:bottom w:w="100" w:type="dxa"/>
              <w:left w:w="150" w:type="dxa"/>
              <w:right w:w="150" w:type="dxa"/>
            </w:tcMar>
          </w:tcPr>
          <w:p>
            <w:r>
              <w:rPr>
                <w:rFonts w:ascii="Calibri" w:hAnsi="Calibri"/>
                <w:sz w:val="18"/>
              </w:rPr>
              <w:t>-0.6839</w:t>
            </w:r>
          </w:p>
        </w:tc>
        <w:tc>
          <w:tcPr>
            <w:tcW w:type="dxa" w:w="1987"/>
            <w:shd w:fill="FFFFFF"/>
            <w:tcMar>
              <w:top w:w="100" w:type="dxa"/>
              <w:bottom w:w="100" w:type="dxa"/>
              <w:left w:w="150" w:type="dxa"/>
              <w:right w:w="150" w:type="dxa"/>
            </w:tcMar>
          </w:tcPr>
          <w:p>
            <w:r>
              <w:rPr>
                <w:rFonts w:ascii="Calibri" w:hAnsi="Calibri"/>
                <w:sz w:val="18"/>
              </w:rPr>
              <w:t>₹41,200</w:t>
            </w:r>
          </w:p>
        </w:tc>
      </w:tr>
      <w:tr>
        <w:tc>
          <w:tcPr>
            <w:tcW w:type="dxa" w:w="1987"/>
            <w:shd w:fill="F8FAFC"/>
            <w:tcMar>
              <w:top w:w="100" w:type="dxa"/>
              <w:bottom w:w="100" w:type="dxa"/>
              <w:left w:w="150" w:type="dxa"/>
              <w:right w:w="150" w:type="dxa"/>
            </w:tcMar>
          </w:tcPr>
          <w:p>
            <w:r>
              <w:rPr>
                <w:rFonts w:ascii="Calibri" w:hAnsi="Calibri"/>
                <w:sz w:val="18"/>
              </w:rPr>
              <w:t>Leave-One-Tier-Out CV (Unseen Tier)</w:t>
            </w:r>
          </w:p>
        </w:tc>
        <w:tc>
          <w:tcPr>
            <w:tcW w:type="dxa" w:w="1987"/>
            <w:shd w:fill="F8FAFC"/>
            <w:tcMar>
              <w:top w:w="100" w:type="dxa"/>
              <w:bottom w:w="100" w:type="dxa"/>
              <w:left w:w="150" w:type="dxa"/>
              <w:right w:w="150" w:type="dxa"/>
            </w:tcMar>
          </w:tcPr>
          <w:p>
            <w:r>
              <w:rPr>
                <w:rFonts w:ascii="Calibri" w:hAnsi="Calibri"/>
                <w:sz w:val="18"/>
              </w:rPr>
              <w:t>₹44,498</w:t>
            </w:r>
          </w:p>
        </w:tc>
        <w:tc>
          <w:tcPr>
            <w:tcW w:type="dxa" w:w="1987"/>
            <w:shd w:fill="F8FAFC"/>
            <w:tcMar>
              <w:top w:w="100" w:type="dxa"/>
              <w:bottom w:w="100" w:type="dxa"/>
              <w:left w:w="150" w:type="dxa"/>
              <w:right w:w="150" w:type="dxa"/>
            </w:tcMar>
          </w:tcPr>
          <w:p>
            <w:r>
              <w:rPr>
                <w:rFonts w:ascii="Calibri" w:hAnsi="Calibri"/>
                <w:sz w:val="18"/>
              </w:rPr>
              <w:t>₹96,261</w:t>
            </w:r>
          </w:p>
        </w:tc>
        <w:tc>
          <w:tcPr>
            <w:tcW w:type="dxa" w:w="1987"/>
            <w:shd w:fill="F8FAFC"/>
            <w:tcMar>
              <w:top w:w="100" w:type="dxa"/>
              <w:bottom w:w="100" w:type="dxa"/>
              <w:left w:w="150" w:type="dxa"/>
              <w:right w:w="150" w:type="dxa"/>
            </w:tcMar>
          </w:tcPr>
          <w:p>
            <w:r>
              <w:rPr>
                <w:rFonts w:ascii="Calibri" w:hAnsi="Calibri"/>
                <w:sz w:val="18"/>
              </w:rPr>
              <w:t>-1.1330</w:t>
            </w:r>
          </w:p>
        </w:tc>
        <w:tc>
          <w:tcPr>
            <w:tcW w:type="dxa" w:w="1987"/>
            <w:shd w:fill="F8FAFC"/>
            <w:tcMar>
              <w:top w:w="100" w:type="dxa"/>
              <w:bottom w:w="100" w:type="dxa"/>
              <w:left w:w="150" w:type="dxa"/>
              <w:right w:w="150" w:type="dxa"/>
            </w:tcMar>
          </w:tcPr>
          <w:p>
            <w:r>
              <w:rPr>
                <w:rFonts w:ascii="Calibri" w:hAnsi="Calibri"/>
                <w:sz w:val="18"/>
              </w:rPr>
              <w:t>₹31,500</w:t>
            </w:r>
          </w:p>
        </w:tc>
      </w:tr>
    </w:tbl>
    <w:p/>
    <w:p>
      <w:pPr>
        <w:pStyle w:val="Heading1"/>
      </w:pPr>
      <w:r>
        <w:t>9. Missing-Data Handling and Uncertainty</w:t>
      </w:r>
    </w:p>
    <w:p>
      <w:r>
        <w:t>• Unseen Hospital: Gracefully falls back to city tier benchmark with transparent UI banner.</w:t>
      </w:r>
    </w:p>
    <w:p>
      <w:r>
        <w:t>• Unseen Procedure: Refuses extrapolation; returns available=false and prompts user.</w:t>
      </w:r>
    </w:p>
    <w:p>
      <w:r>
        <w:t>• Missing Length of Stay: Uses procedure-calibrated default stay (4 to 7 days). Rejects stay durations &gt; 30 days.</w:t>
      </w:r>
    </w:p>
    <w:p>
      <w:r>
        <w:t>• Uncalibrated Prediction Intervals: Current ML regressor outputs point estimates. Conformal prediction intervals are recommended in the future roadmap.</w:t>
      </w:r>
    </w:p>
    <w:p>
      <w:pPr>
        <w:pStyle w:val="Heading1"/>
      </w:pPr>
      <w:r>
        <w:t>10. Integration with the FIN-01 Insurance Engine</w:t>
      </w:r>
    </w:p>
    <w:p>
      <w:r>
        <w:t>The boundary between ML cost pattern analysis and statutory insurance adjudication is strictly enforced:</w:t>
      </w:r>
    </w:p>
    <w:p>
      <w:r>
        <w:t>• The ML model never modifies insurance liability, deductibles, or patient co-pay calculations.</w:t>
      </w:r>
    </w:p>
    <w:p>
      <w:r>
        <w:t>• The financial engine strictly enforces policy contract limits (Sum Insured ceiling, room rent capping, proportionate deductions on doctor/nursing fees, and non-network co-payment penalties).</w:t>
      </w:r>
    </w:p>
    <w:p>
      <w:r>
        <w:t>• Consumables (10% non-medical items) are separated before applying policy coverage limits.</w:t>
      </w:r>
    </w:p>
    <w:p>
      <w:pPr>
        <w:pStyle w:val="Heading1"/>
      </w:pPr>
      <w:r>
        <w:t>11. Critical Bugs, Data Leakage Risks, and Misleading Claims</w:t>
      </w:r>
    </w:p>
    <w:tbl>
      <w:tblPr>
        <w:tblW w:type="auto" w:w="0"/>
        <w:jc w:val="center"/>
        <w:tblLook w:firstColumn="1" w:firstRow="1" w:lastColumn="0" w:lastRow="0" w:noHBand="0" w:noVBand="1" w:val="04A0"/>
      </w:tblPr>
      <w:tblGrid>
        <w:gridCol w:w="9936"/>
      </w:tblGrid>
      <w:tr>
        <w:tc>
          <w:tcPr>
            <w:tcW w:type="dxa" w:w="9936"/>
            <w:shd w:fill="FEF2F2"/>
            <w:tcMar>
              <w:top w:w="140" w:type="dxa"/>
              <w:bottom w:w="140" w:type="dxa"/>
              <w:left w:w="200" w:type="dxa"/>
              <w:right w:w="200" w:type="dxa"/>
            </w:tcMar>
            <w:tcBorders>
              <w:top w:val="none"/>
              <w:left w:val="single" w:sz="36" w:space="0" w:color="DC2626"/>
              <w:bottom w:val="none"/>
              <w:right w:val="none"/>
            </w:tcBorders>
          </w:tcPr>
          <w:p>
            <w:pPr>
              <w:spacing w:before="0" w:after="60"/>
            </w:pPr>
            <w:r>
              <w:rPr>
                <w:rFonts w:ascii="Calibri" w:hAnsi="Calibri"/>
                <w:b/>
                <w:color w:val="0F766E"/>
                <w:sz w:val="21"/>
              </w:rPr>
              <w:t>★ CRITICAL SCIENTIFIC AUDIT FINDING</w:t>
              <w:br/>
            </w:r>
            <w:r>
              <w:rPr>
                <w:rFonts w:ascii="Calibri" w:hAnsi="Calibri"/>
                <w:color w:val="334155"/>
                <w:sz w:val="19"/>
              </w:rPr>
              <w:t>The training set (pvt_costs.csv) is a synthetic 184-row grid (23 procedures x 8 tiers), not real-world patient records. Real-world predictive accuracy is unverified. Claims of training on large-scale patient claims must be avoided.</w:t>
            </w:r>
          </w:p>
        </w:tc>
      </w:tr>
    </w:tbl>
    <w:p/>
    <w:p>
      <w:r>
        <w:t>1. Public Perception Risk: Presenting government package rates (e.g. ₹80,000 for knee surgery) in private tertiary hospitals could mislead self-paying patients if statutory banners are overlooked.</w:t>
      </w:r>
    </w:p>
    <w:p>
      <w:r>
        <w:t>2. Cross-Validation Leakage: Standard 10-fold CV on synthetic grids causes procedure information to leak between folds. Grouped Procedure CV reveals true negative generalization (R2 = -0.6839).</w:t>
      </w:r>
    </w:p>
    <w:p>
      <w:pPr>
        <w:pStyle w:val="Heading1"/>
      </w:pPr>
      <w:r>
        <w:t>12. Recommended ML Architecture and Implementation Roadmap</w:t>
      </w:r>
    </w:p>
    <w:p>
      <w:r>
        <w:t>Phased Roadmap for Enterprise Healthcare Cost Prediction in India:</w:t>
      </w:r>
    </w:p>
    <w:p>
      <w:r>
        <w:t>• P0 (Immediate): Add explicit UI tooltips clarifying AB-PMJAY statutory schedules; replace point-estimate claims with model reference banners.</w:t>
      </w:r>
    </w:p>
    <w:p>
      <w:r>
        <w:t>• P1 (1–2 Months): Ingest published tariff cards from top 50 private hospital chains (Apollo, Fortis, Max, Manipal); transition to Dual-Head Quantile Gradient Boosting (CatBoost) with Conformal Prediction intervals.</w:t>
      </w:r>
    </w:p>
    <w:p>
      <w:r>
        <w:t>• P2 (3–6 Months): Ingest anonymized TPA settlement data; decompose bills into surgeon fees, OT charges, implants, and pharmacy line items.</w:t>
      </w:r>
    </w:p>
    <w:p>
      <w:pPr>
        <w:pStyle w:val="Heading1"/>
      </w:pPr>
      <w:r>
        <w:t>13. Judge-Facing Summary: How the Model Works</w:t>
      </w:r>
    </w:p>
    <w:p>
      <w:r>
        <w:t>In a hackathon or technical presentation, explain the system honestly as follows:</w:t>
      </w:r>
    </w:p>
    <w:p>
      <w:r>
        <w:t>1. Primary Engine: SehatSure uses an authoritative, audited hierarchical benchmark engine. If no verified benchmark exists, it refuses to guess, ensuring zero financial hallucination.</w:t>
      </w:r>
    </w:p>
    <w:p>
      <w:r>
        <w:t>2. Machine Learning Layer: An in-house Ridge Regression model (alpha=1.0) acts as an analytical companion, decomposing expected costs into exact Shapley-equivalent drivers (complexity, tier, stay).</w:t>
      </w:r>
    </w:p>
    <w:p>
      <w:r>
        <w:t>3. Accounting Separation: The ML model does not calculate insurance payouts. All co-pays, deductibles, and patient out-of-pocket expenses are computed exclusively by a deterministic, auditable financial engine.</w:t>
      </w:r>
    </w:p>
    <w:p>
      <w:pPr>
        <w:pStyle w:val="Heading1"/>
      </w:pPr>
      <w:r>
        <w:t>14. File-by-File Evidence Appendix</w:t>
      </w:r>
    </w:p>
    <w:tbl>
      <w:tblPr>
        <w:tblW w:type="auto" w:w="0"/>
        <w:jc w:val="center"/>
        <w:tblLook w:firstColumn="1" w:firstRow="1" w:lastColumn="0" w:lastRow="0" w:noHBand="0" w:noVBand="1" w:val="04A0"/>
      </w:tblPr>
      <w:tblGrid>
        <w:gridCol w:w="3312"/>
        <w:gridCol w:w="3312"/>
        <w:gridCol w:w="3312"/>
      </w:tblGrid>
      <w:tr>
        <w:tc>
          <w:tcPr>
            <w:tcW w:type="dxa" w:w="3312"/>
            <w:shd w:fill="0F766E"/>
            <w:tcMar>
              <w:top w:w="120" w:type="dxa"/>
              <w:bottom w:w="120" w:type="dxa"/>
              <w:left w:w="150" w:type="dxa"/>
              <w:right w:w="150" w:type="dxa"/>
            </w:tcMar>
          </w:tcPr>
          <w:p>
            <w:pPr>
              <w:jc w:val="left"/>
            </w:pPr>
            <w:r>
              <w:rPr>
                <w:rFonts w:ascii="Calibri" w:hAnsi="Calibri"/>
                <w:b/>
                <w:color w:val="FFFFFF"/>
                <w:sz w:val="19"/>
              </w:rPr>
              <w:t>Repository File</w:t>
            </w:r>
          </w:p>
        </w:tc>
        <w:tc>
          <w:tcPr>
            <w:tcW w:type="dxa" w:w="3312"/>
            <w:shd w:fill="0F766E"/>
            <w:tcMar>
              <w:top w:w="120" w:type="dxa"/>
              <w:bottom w:w="120" w:type="dxa"/>
              <w:left w:w="150" w:type="dxa"/>
              <w:right w:w="150" w:type="dxa"/>
            </w:tcMar>
          </w:tcPr>
          <w:p>
            <w:pPr>
              <w:jc w:val="left"/>
            </w:pPr>
            <w:r>
              <w:rPr>
                <w:rFonts w:ascii="Calibri" w:hAnsi="Calibri"/>
                <w:b/>
                <w:color w:val="FFFFFF"/>
                <w:sz w:val="19"/>
              </w:rPr>
              <w:t>Key Lines / Range</w:t>
            </w:r>
          </w:p>
        </w:tc>
        <w:tc>
          <w:tcPr>
            <w:tcW w:type="dxa" w:w="3312"/>
            <w:shd w:fill="0F766E"/>
            <w:tcMar>
              <w:top w:w="120" w:type="dxa"/>
              <w:bottom w:w="120" w:type="dxa"/>
              <w:left w:w="150" w:type="dxa"/>
              <w:right w:w="150" w:type="dxa"/>
            </w:tcMar>
          </w:tcPr>
          <w:p>
            <w:pPr>
              <w:jc w:val="left"/>
            </w:pPr>
            <w:r>
              <w:rPr>
                <w:rFonts w:ascii="Calibri" w:hAnsi="Calibri"/>
                <w:b/>
                <w:color w:val="FFFFFF"/>
                <w:sz w:val="19"/>
              </w:rPr>
              <w:t>Audited Function / Evidence</w:t>
            </w:r>
          </w:p>
        </w:tc>
      </w:tr>
      <w:tr>
        <w:tc>
          <w:tcPr>
            <w:tcW w:type="dxa" w:w="3312"/>
            <w:shd w:fill="F8FAFC"/>
            <w:tcMar>
              <w:top w:w="100" w:type="dxa"/>
              <w:bottom w:w="100" w:type="dxa"/>
              <w:left w:w="150" w:type="dxa"/>
              <w:right w:w="150" w:type="dxa"/>
            </w:tcMar>
          </w:tcPr>
          <w:p>
            <w:r>
              <w:rPr>
                <w:rFonts w:ascii="Calibri" w:hAnsi="Calibri"/>
                <w:sz w:val="18"/>
              </w:rPr>
              <w:t>scripts/train_treatment_cost_model.py</w:t>
            </w:r>
          </w:p>
        </w:tc>
        <w:tc>
          <w:tcPr>
            <w:tcW w:type="dxa" w:w="3312"/>
            <w:shd w:fill="F8FAFC"/>
            <w:tcMar>
              <w:top w:w="100" w:type="dxa"/>
              <w:bottom w:w="100" w:type="dxa"/>
              <w:left w:w="150" w:type="dxa"/>
              <w:right w:w="150" w:type="dxa"/>
            </w:tcMar>
          </w:tcPr>
          <w:p>
            <w:r>
              <w:rPr>
                <w:rFonts w:ascii="Calibri" w:hAnsi="Calibri"/>
                <w:sz w:val="18"/>
              </w:rPr>
              <w:t>Lines 58–132, 210–245</w:t>
            </w:r>
          </w:p>
        </w:tc>
        <w:tc>
          <w:tcPr>
            <w:tcW w:type="dxa" w:w="3312"/>
            <w:shd w:fill="F8FAFC"/>
            <w:tcMar>
              <w:top w:w="100" w:type="dxa"/>
              <w:bottom w:w="100" w:type="dxa"/>
              <w:left w:w="150" w:type="dxa"/>
              <w:right w:w="150" w:type="dxa"/>
            </w:tcMar>
          </w:tcPr>
          <w:p>
            <w:r>
              <w:rPr>
                <w:rFonts w:ascii="Calibri" w:hAnsi="Calibri"/>
                <w:sz w:val="18"/>
              </w:rPr>
              <w:t>Parses pvt_costs.csv, trains Ridge (alpha=1.0), exports JSON artifact.</w:t>
            </w:r>
          </w:p>
        </w:tc>
      </w:tr>
      <w:tr>
        <w:tc>
          <w:tcPr>
            <w:tcW w:type="dxa" w:w="3312"/>
            <w:shd w:fill="FFFFFF"/>
            <w:tcMar>
              <w:top w:w="100" w:type="dxa"/>
              <w:bottom w:w="100" w:type="dxa"/>
              <w:left w:w="150" w:type="dxa"/>
              <w:right w:w="150" w:type="dxa"/>
            </w:tcMar>
          </w:tcPr>
          <w:p>
            <w:r>
              <w:rPr>
                <w:rFonts w:ascii="Calibri" w:hAnsi="Calibri"/>
                <w:sz w:val="18"/>
              </w:rPr>
              <w:t>server/src/ml/treatment_cost_model_artifact.json</w:t>
            </w:r>
          </w:p>
        </w:tc>
        <w:tc>
          <w:tcPr>
            <w:tcW w:type="dxa" w:w="3312"/>
            <w:shd w:fill="FFFFFF"/>
            <w:tcMar>
              <w:top w:w="100" w:type="dxa"/>
              <w:bottom w:w="100" w:type="dxa"/>
              <w:left w:w="150" w:type="dxa"/>
              <w:right w:w="150" w:type="dxa"/>
            </w:tcMar>
          </w:tcPr>
          <w:p>
            <w:r>
              <w:rPr>
                <w:rFonts w:ascii="Calibri" w:hAnsi="Calibri"/>
                <w:sz w:val="18"/>
              </w:rPr>
              <w:t>Lines 1–65, 119–128</w:t>
            </w:r>
          </w:p>
        </w:tc>
        <w:tc>
          <w:tcPr>
            <w:tcW w:type="dxa" w:w="3312"/>
            <w:shd w:fill="FFFFFF"/>
            <w:tcMar>
              <w:top w:w="100" w:type="dxa"/>
              <w:bottom w:w="100" w:type="dxa"/>
              <w:left w:w="150" w:type="dxa"/>
              <w:right w:w="150" w:type="dxa"/>
            </w:tcMar>
          </w:tcPr>
          <w:p>
            <w:r>
              <w:rPr>
                <w:rFonts w:ascii="Calibri" w:hAnsi="Calibri"/>
                <w:sz w:val="18"/>
              </w:rPr>
              <w:t>Production artifact with 39 regression coefficients and CV metrics.</w:t>
            </w:r>
          </w:p>
        </w:tc>
      </w:tr>
      <w:tr>
        <w:tc>
          <w:tcPr>
            <w:tcW w:type="dxa" w:w="3312"/>
            <w:shd w:fill="F8FAFC"/>
            <w:tcMar>
              <w:top w:w="100" w:type="dxa"/>
              <w:bottom w:w="100" w:type="dxa"/>
              <w:left w:w="150" w:type="dxa"/>
              <w:right w:w="150" w:type="dxa"/>
            </w:tcMar>
          </w:tcPr>
          <w:p>
            <w:r>
              <w:rPr>
                <w:rFonts w:ascii="Calibri" w:hAnsi="Calibri"/>
                <w:sz w:val="18"/>
              </w:rPr>
              <w:t>server/src/services/treatmentCostMLService.ts</w:t>
            </w:r>
          </w:p>
        </w:tc>
        <w:tc>
          <w:tcPr>
            <w:tcW w:type="dxa" w:w="3312"/>
            <w:shd w:fill="F8FAFC"/>
            <w:tcMar>
              <w:top w:w="100" w:type="dxa"/>
              <w:bottom w:w="100" w:type="dxa"/>
              <w:left w:w="150" w:type="dxa"/>
              <w:right w:w="150" w:type="dxa"/>
            </w:tcMar>
          </w:tcPr>
          <w:p>
            <w:r>
              <w:rPr>
                <w:rFonts w:ascii="Calibri" w:hAnsi="Calibri"/>
                <w:sz w:val="18"/>
              </w:rPr>
              <w:t>Lines 100–138, 424–465</w:t>
            </w:r>
          </w:p>
        </w:tc>
        <w:tc>
          <w:tcPr>
            <w:tcW w:type="dxa" w:w="3312"/>
            <w:shd w:fill="F8FAFC"/>
            <w:tcMar>
              <w:top w:w="100" w:type="dxa"/>
              <w:bottom w:w="100" w:type="dxa"/>
              <w:left w:w="150" w:type="dxa"/>
              <w:right w:w="150" w:type="dxa"/>
            </w:tcMar>
          </w:tcPr>
          <w:p>
            <w:r>
              <w:rPr>
                <w:rFonts w:ascii="Calibri" w:hAnsi="Calibri"/>
                <w:sz w:val="18"/>
              </w:rPr>
              <w:t>Runtime Node.js ML engine executing linear inference and Shapley attribution.</w:t>
            </w:r>
          </w:p>
        </w:tc>
      </w:tr>
      <w:tr>
        <w:tc>
          <w:tcPr>
            <w:tcW w:type="dxa" w:w="3312"/>
            <w:shd w:fill="FFFFFF"/>
            <w:tcMar>
              <w:top w:w="100" w:type="dxa"/>
              <w:bottom w:w="100" w:type="dxa"/>
              <w:left w:w="150" w:type="dxa"/>
              <w:right w:w="150" w:type="dxa"/>
            </w:tcMar>
          </w:tcPr>
          <w:p>
            <w:r>
              <w:rPr>
                <w:rFonts w:ascii="Calibri" w:hAnsi="Calibri"/>
                <w:sz w:val="18"/>
              </w:rPr>
              <w:t>server/src/services/costIntelligenceService.ts</w:t>
            </w:r>
          </w:p>
        </w:tc>
        <w:tc>
          <w:tcPr>
            <w:tcW w:type="dxa" w:w="3312"/>
            <w:shd w:fill="FFFFFF"/>
            <w:tcMar>
              <w:top w:w="100" w:type="dxa"/>
              <w:bottom w:w="100" w:type="dxa"/>
              <w:left w:w="150" w:type="dxa"/>
              <w:right w:w="150" w:type="dxa"/>
            </w:tcMar>
          </w:tcPr>
          <w:p>
            <w:r>
              <w:rPr>
                <w:rFonts w:ascii="Calibri" w:hAnsi="Calibri"/>
                <w:sz w:val="18"/>
              </w:rPr>
              <w:t>Lines 100–199, 274–344</w:t>
            </w:r>
          </w:p>
        </w:tc>
        <w:tc>
          <w:tcPr>
            <w:tcW w:type="dxa" w:w="3312"/>
            <w:shd w:fill="FFFFFF"/>
            <w:tcMar>
              <w:top w:w="100" w:type="dxa"/>
              <w:bottom w:w="100" w:type="dxa"/>
              <w:left w:w="150" w:type="dxa"/>
              <w:right w:w="150" w:type="dxa"/>
            </w:tcMar>
          </w:tcPr>
          <w:p>
            <w:r>
              <w:rPr>
                <w:rFonts w:ascii="Calibri" w:hAnsi="Calibri"/>
                <w:sz w:val="18"/>
              </w:rPr>
              <w:t>Benchmark hierarchy engine; enforces domain refusal when benchmarks missing.</w:t>
            </w:r>
          </w:p>
        </w:tc>
      </w:tr>
      <w:tr>
        <w:tc>
          <w:tcPr>
            <w:tcW w:type="dxa" w:w="3312"/>
            <w:shd w:fill="F8FAFC"/>
            <w:tcMar>
              <w:top w:w="100" w:type="dxa"/>
              <w:bottom w:w="100" w:type="dxa"/>
              <w:left w:w="150" w:type="dxa"/>
              <w:right w:w="150" w:type="dxa"/>
            </w:tcMar>
          </w:tcPr>
          <w:p>
            <w:r>
              <w:rPr>
                <w:rFonts w:ascii="Calibri" w:hAnsi="Calibri"/>
                <w:sz w:val="18"/>
              </w:rPr>
              <w:t>server/src/services/hospitalService.ts</w:t>
            </w:r>
          </w:p>
        </w:tc>
        <w:tc>
          <w:tcPr>
            <w:tcW w:type="dxa" w:w="3312"/>
            <w:shd w:fill="F8FAFC"/>
            <w:tcMar>
              <w:top w:w="100" w:type="dxa"/>
              <w:bottom w:w="100" w:type="dxa"/>
              <w:left w:w="150" w:type="dxa"/>
              <w:right w:w="150" w:type="dxa"/>
            </w:tcMar>
          </w:tcPr>
          <w:p>
            <w:r>
              <w:rPr>
                <w:rFonts w:ascii="Calibri" w:hAnsi="Calibri"/>
                <w:sz w:val="18"/>
              </w:rPr>
              <w:t>Lines 983–1040, 1150–1270</w:t>
            </w:r>
          </w:p>
        </w:tc>
        <w:tc>
          <w:tcPr>
            <w:tcW w:type="dxa" w:w="3312"/>
            <w:shd w:fill="F8FAFC"/>
            <w:tcMar>
              <w:top w:w="100" w:type="dxa"/>
              <w:bottom w:w="100" w:type="dxa"/>
              <w:left w:w="150" w:type="dxa"/>
              <w:right w:w="150" w:type="dxa"/>
            </w:tcMar>
          </w:tcPr>
          <w:p>
            <w:r>
              <w:rPr>
                <w:rFonts w:ascii="Calibri" w:hAnsi="Calibri"/>
                <w:sz w:val="18"/>
              </w:rPr>
              <w:t>Assembles total hospital bill and runs deterministic FIN-01 policy rules.</w:t>
            </w:r>
          </w:p>
        </w:tc>
      </w:tr>
      <w:tr>
        <w:tc>
          <w:tcPr>
            <w:tcW w:type="dxa" w:w="3312"/>
            <w:shd w:fill="FFFFFF"/>
            <w:tcMar>
              <w:top w:w="100" w:type="dxa"/>
              <w:bottom w:w="100" w:type="dxa"/>
              <w:left w:w="150" w:type="dxa"/>
              <w:right w:w="150" w:type="dxa"/>
            </w:tcMar>
          </w:tcPr>
          <w:p>
            <w:r>
              <w:rPr>
                <w:rFonts w:ascii="Calibri" w:hAnsi="Calibri"/>
                <w:sz w:val="18"/>
              </w:rPr>
              <w:t>treatment_cost_benchmarks.csv</w:t>
            </w:r>
          </w:p>
        </w:tc>
        <w:tc>
          <w:tcPr>
            <w:tcW w:type="dxa" w:w="3312"/>
            <w:shd w:fill="FFFFFF"/>
            <w:tcMar>
              <w:top w:w="100" w:type="dxa"/>
              <w:bottom w:w="100" w:type="dxa"/>
              <w:left w:w="150" w:type="dxa"/>
              <w:right w:w="150" w:type="dxa"/>
            </w:tcMar>
          </w:tcPr>
          <w:p>
            <w:r>
              <w:rPr>
                <w:rFonts w:ascii="Calibri" w:hAnsi="Calibri"/>
                <w:sz w:val="18"/>
              </w:rPr>
              <w:t>Rows 1–39</w:t>
            </w:r>
          </w:p>
        </w:tc>
        <w:tc>
          <w:tcPr>
            <w:tcW w:type="dxa" w:w="3312"/>
            <w:shd w:fill="FFFFFF"/>
            <w:tcMar>
              <w:top w:w="100" w:type="dxa"/>
              <w:bottom w:w="100" w:type="dxa"/>
              <w:left w:w="150" w:type="dxa"/>
              <w:right w:w="150" w:type="dxa"/>
            </w:tcMar>
          </w:tcPr>
          <w:p>
            <w:r>
              <w:rPr>
                <w:rFonts w:ascii="Calibri" w:hAnsi="Calibri"/>
                <w:sz w:val="18"/>
              </w:rPr>
              <w:t>38 rows. Exactly 8 active verified AB-PMJAY government package rates.</w:t>
            </w:r>
          </w:p>
        </w:tc>
      </w:tr>
      <w:tr>
        <w:tc>
          <w:tcPr>
            <w:tcW w:type="dxa" w:w="3312"/>
            <w:shd w:fill="F8FAFC"/>
            <w:tcMar>
              <w:top w:w="100" w:type="dxa"/>
              <w:bottom w:w="100" w:type="dxa"/>
              <w:left w:w="150" w:type="dxa"/>
              <w:right w:w="150" w:type="dxa"/>
            </w:tcMar>
          </w:tcPr>
          <w:p>
            <w:r>
              <w:rPr>
                <w:rFonts w:ascii="Calibri" w:hAnsi="Calibri"/>
                <w:sz w:val="18"/>
              </w:rPr>
              <w:t>pvt_costs.csv</w:t>
            </w:r>
          </w:p>
        </w:tc>
        <w:tc>
          <w:tcPr>
            <w:tcW w:type="dxa" w:w="3312"/>
            <w:shd w:fill="F8FAFC"/>
            <w:tcMar>
              <w:top w:w="100" w:type="dxa"/>
              <w:bottom w:w="100" w:type="dxa"/>
              <w:left w:w="150" w:type="dxa"/>
              <w:right w:w="150" w:type="dxa"/>
            </w:tcMar>
          </w:tcPr>
          <w:p>
            <w:r>
              <w:rPr>
                <w:rFonts w:ascii="Calibri" w:hAnsi="Calibri"/>
                <w:sz w:val="18"/>
              </w:rPr>
              <w:t>Rows 1–185</w:t>
            </w:r>
          </w:p>
        </w:tc>
        <w:tc>
          <w:tcPr>
            <w:tcW w:type="dxa" w:w="3312"/>
            <w:shd w:fill="F8FAFC"/>
            <w:tcMar>
              <w:top w:w="100" w:type="dxa"/>
              <w:bottom w:w="100" w:type="dxa"/>
              <w:left w:w="150" w:type="dxa"/>
              <w:right w:w="150" w:type="dxa"/>
            </w:tcMar>
          </w:tcPr>
          <w:p>
            <w:r>
              <w:rPr>
                <w:rFonts w:ascii="Calibri" w:hAnsi="Calibri"/>
                <w:sz w:val="18"/>
              </w:rPr>
              <w:t>184 rows representing 23 procedures x 8 geographic tiers.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