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1A365D"/>
          <w:sz w:val="44"/>
        </w:rPr>
        <w:t>SEHATSURE SYSTEM RELIABILITY EVALUATION REPORT</w:t>
      </w:r>
    </w:p>
    <w:p>
      <w:pPr>
        <w:spacing w:before="0" w:after="280"/>
      </w:pPr>
      <w:r>
        <w:rPr>
          <w:rFonts w:ascii="Calibri" w:hAnsi="Calibri"/>
          <w:color w:val="2B6CB0"/>
          <w:sz w:val="24"/>
        </w:rPr>
        <w:t>A Formal, Reproducible, Evidence-Based Reliability Audit of Deterministic Financial Rules, Machine Learning Regressors, Policy RAG, Invariants, and Safety Guardrails</w:t>
      </w:r>
    </w:p>
    <w:tbl>
      <w:tblPr>
        <w:tblW w:type="auto" w:w="0"/>
        <w:jc w:val="center"/>
        <w:tblLook w:firstColumn="1" w:firstRow="1" w:lastColumn="0" w:lastRow="0" w:noHBand="0" w:noVBand="1" w:val="04A0"/>
      </w:tblPr>
      <w:tblGrid>
        <w:gridCol w:w="3168"/>
        <w:gridCol w:w="6192"/>
      </w:tblGrid>
      <w:tr>
        <w:tc>
          <w:tcPr>
            <w:tcW w:type="dxa" w:w="4680"/>
            <w:shd w:fill="EDF2F7"/>
            <w:tcMar>
              <w:top w:w="80" w:type="dxa"/>
              <w:bottom w:w="80" w:type="dxa"/>
              <w:left w:w="120" w:type="dxa"/>
              <w:right w:w="120" w:type="dxa"/>
            </w:tcMar>
          </w:tcPr>
          <w:p>
            <w:pPr>
              <w:spacing w:after="0"/>
            </w:pPr>
            <w:r>
              <w:rPr>
                <w:rFonts w:ascii="Calibri" w:hAnsi="Calibri"/>
                <w:b/>
                <w:color w:val="1A365D"/>
                <w:sz w:val="19"/>
              </w:rPr>
              <w:t>Audit Authority &amp; Role</w:t>
            </w:r>
          </w:p>
        </w:tc>
        <w:tc>
          <w:tcPr>
            <w:tcW w:type="dxa" w:w="4680"/>
            <w:shd w:fill="FFFFFF"/>
            <w:tcMar>
              <w:top w:w="80" w:type="dxa"/>
              <w:bottom w:w="80" w:type="dxa"/>
              <w:left w:w="120" w:type="dxa"/>
              <w:right w:w="120" w:type="dxa"/>
            </w:tcMar>
          </w:tcPr>
          <w:p>
            <w:pPr>
              <w:spacing w:after="0"/>
            </w:pPr>
            <w:r>
              <w:rPr>
                <w:rFonts w:ascii="Calibri" w:hAnsi="Calibri"/>
                <w:color w:val="2D3748"/>
                <w:sz w:val="19"/>
              </w:rPr>
              <w:t>Senior QA Engineer, ML Evaluation Engineer, Financial Auditor</w:t>
            </w:r>
          </w:p>
        </w:tc>
      </w:tr>
      <w:tr>
        <w:tc>
          <w:tcPr>
            <w:tcW w:type="dxa" w:w="4680"/>
            <w:shd w:fill="EDF2F7"/>
            <w:tcMar>
              <w:top w:w="80" w:type="dxa"/>
              <w:bottom w:w="80" w:type="dxa"/>
              <w:left w:w="120" w:type="dxa"/>
              <w:right w:w="120" w:type="dxa"/>
            </w:tcMar>
          </w:tcPr>
          <w:p>
            <w:pPr>
              <w:spacing w:after="0"/>
            </w:pPr>
            <w:r>
              <w:rPr>
                <w:rFonts w:ascii="Calibri" w:hAnsi="Calibri"/>
                <w:b/>
                <w:color w:val="1A365D"/>
                <w:sz w:val="19"/>
              </w:rPr>
              <w:t>Execution Timestamp</w:t>
            </w:r>
          </w:p>
        </w:tc>
        <w:tc>
          <w:tcPr>
            <w:tcW w:type="dxa" w:w="4680"/>
            <w:shd w:fill="FFFFFF"/>
            <w:tcMar>
              <w:top w:w="80" w:type="dxa"/>
              <w:bottom w:w="80" w:type="dxa"/>
              <w:left w:w="120" w:type="dxa"/>
              <w:right w:w="120" w:type="dxa"/>
            </w:tcMar>
          </w:tcPr>
          <w:p>
            <w:pPr>
              <w:spacing w:after="0"/>
            </w:pPr>
            <w:r>
              <w:rPr>
                <w:rFonts w:ascii="Calibri" w:hAnsi="Calibri"/>
                <w:color w:val="2D3748"/>
                <w:sz w:val="19"/>
              </w:rPr>
              <w:t>2026-10-08T21:17:26.162Z (Deterministic Seed: 42)</w:t>
            </w:r>
          </w:p>
        </w:tc>
      </w:tr>
      <w:tr>
        <w:tc>
          <w:tcPr>
            <w:tcW w:type="dxa" w:w="4680"/>
            <w:shd w:fill="EDF2F7"/>
            <w:tcMar>
              <w:top w:w="80" w:type="dxa"/>
              <w:bottom w:w="80" w:type="dxa"/>
              <w:left w:w="120" w:type="dxa"/>
              <w:right w:w="120" w:type="dxa"/>
            </w:tcMar>
          </w:tcPr>
          <w:p>
            <w:pPr>
              <w:spacing w:after="0"/>
            </w:pPr>
            <w:r>
              <w:rPr>
                <w:rFonts w:ascii="Calibri" w:hAnsi="Calibri"/>
                <w:b/>
                <w:color w:val="1A365D"/>
                <w:sz w:val="19"/>
              </w:rPr>
              <w:t>Target Codebase</w:t>
            </w:r>
          </w:p>
        </w:tc>
        <w:tc>
          <w:tcPr>
            <w:tcW w:type="dxa" w:w="4680"/>
            <w:shd w:fill="FFFFFF"/>
            <w:tcMar>
              <w:top w:w="80" w:type="dxa"/>
              <w:bottom w:w="80" w:type="dxa"/>
              <w:left w:w="120" w:type="dxa"/>
              <w:right w:w="120" w:type="dxa"/>
            </w:tcMar>
          </w:tcPr>
          <w:p>
            <w:pPr>
              <w:spacing w:after="0"/>
            </w:pPr>
            <w:r>
              <w:rPr>
                <w:rFonts w:ascii="Calibri" w:hAnsi="Calibri"/>
                <w:color w:val="2D3748"/>
                <w:sz w:val="19"/>
              </w:rPr>
              <w:t>Janmejay250171/GE-PCC-2026 (SehatSure Node/TypeScript &amp; Python ML)</w:t>
            </w:r>
          </w:p>
        </w:tc>
      </w:tr>
      <w:tr>
        <w:tc>
          <w:tcPr>
            <w:tcW w:type="dxa" w:w="4680"/>
            <w:shd w:fill="EDF2F7"/>
            <w:tcMar>
              <w:top w:w="80" w:type="dxa"/>
              <w:bottom w:w="80" w:type="dxa"/>
              <w:left w:w="120" w:type="dxa"/>
              <w:right w:w="120" w:type="dxa"/>
            </w:tcMar>
          </w:tcPr>
          <w:p>
            <w:pPr>
              <w:spacing w:after="0"/>
            </w:pPr>
            <w:r>
              <w:rPr>
                <w:rFonts w:ascii="Calibri" w:hAnsi="Calibri"/>
                <w:b/>
                <w:color w:val="1A365D"/>
                <w:sz w:val="19"/>
              </w:rPr>
              <w:t>Evaluation Framework</w:t>
            </w:r>
          </w:p>
        </w:tc>
        <w:tc>
          <w:tcPr>
            <w:tcW w:type="dxa" w:w="4680"/>
            <w:shd w:fill="FFFFFF"/>
            <w:tcMar>
              <w:top w:w="80" w:type="dxa"/>
              <w:bottom w:w="80" w:type="dxa"/>
              <w:left w:w="120" w:type="dxa"/>
              <w:right w:w="120" w:type="dxa"/>
            </w:tcMar>
          </w:tcPr>
          <w:p>
            <w:pPr>
              <w:spacing w:after="0"/>
            </w:pPr>
            <w:r>
              <w:rPr>
                <w:rFonts w:ascii="Calibri" w:hAnsi="Calibri"/>
                <w:color w:val="2D3748"/>
                <w:sz w:val="19"/>
              </w:rPr>
              <w:t>Harmonized Independent Oracle Suite v2.0 (2,000 Financial, 1,000 Invariant Scenarios)</w:t>
            </w:r>
          </w:p>
        </w:tc>
      </w:tr>
    </w:tbl>
    <w:p>
      <w:pPr>
        <w:spacing w:after="240"/>
      </w:pPr>
    </w:p>
    <w:p>
      <w:pPr>
        <w:pStyle w:val="Heading1"/>
        <w:keepNext/>
        <w:spacing w:before="280" w:after="120"/>
      </w:pPr>
      <w:r>
        <w:rPr>
          <w:rFonts w:ascii="Calibri" w:hAnsi="Calibri"/>
          <w:b/>
          <w:color w:val="1A365D"/>
          <w:sz w:val="32"/>
        </w:rPr>
        <w:t>1. Executive Summary</w:t>
      </w:r>
    </w:p>
    <w:p>
      <w:pPr>
        <w:spacing w:before="0" w:after="120" w:line="276" w:lineRule="auto"/>
      </w:pPr>
      <w:r>
        <w:rPr>
          <w:rFonts w:ascii="Calibri" w:hAnsi="Calibri"/>
          <w:color w:val="2D3748"/>
          <w:sz w:val="21"/>
        </w:rPr>
        <w:t>This technical audit presents a comprehensive, evidence-based reliability evaluation of the SehatSure healthcare navigation and financial adjudication platform following a complete reliability hardening and evaluation correction pass. The audit inspected production source code, evaluation test oracles, ML pipelines, datasets, and edge cases to isolate genuine product bugs from evaluation defects and intentional safety refusals.</w:t>
      </w:r>
    </w:p>
    <w:p>
      <w:pPr>
        <w:spacing w:before="0" w:after="120" w:line="276" w:lineRule="auto"/>
      </w:pPr>
      <w:r>
        <w:rPr>
          <w:rFonts w:ascii="Calibri" w:hAnsi="Calibri"/>
          <w:color w:val="2D3748"/>
          <w:sz w:val="21"/>
        </w:rPr>
        <w:t>Key Methodological Principle: The audit explicitly refuses to construct a single synthetic 'overall AI accuracy' percentage. In healthcare systems engineering, health insurance claim adjudication is deterministic and zero-tolerance (requiring 100% exact rupee correctness), whereas treatment-cost estimation is an inductive statistical prediction. Conflating these dissimilar capabilities masks critical failure modes. Each subsystem is evaluated against independent oracles and reported with its own statistically defensible metrics.</w:t>
      </w:r>
    </w:p>
    <w:p>
      <w:pPr>
        <w:spacing w:before="0" w:after="120" w:line="276" w:lineRule="auto"/>
      </w:pPr>
      <w:r>
        <w:rPr>
          <w:rFonts w:ascii="Calibri" w:hAnsi="Calibri"/>
          <w:color w:val="2D3748"/>
          <w:sz w:val="21"/>
        </w:rPr>
        <w:t>Primary Findings: The deterministic financial engine achieved 100% exact calculation match against the independent oracle across 2,000 evaluated scenarios covering the implemented financial-rule combinations with maximum rupee error of INR 0. The ML Treatment-Cost Driver Analysis regressor achieved an honest 10-fold cross-validation MAE of INR 45,468 (Median AE: INR 22,309) with 28.3% of estimates within +-20% and 44.0% within +-30% on the 184-record benchmark dataset, while correctly refusing 20/20 (100.0%) of out-of-domain surgical procedures. The Policy QA / RAG engine demonstrated 30/30 (100.0%) grounded answer correctness, 30/30 (100.0%) citation correctness, and 30/30 (100.0%) abstention correctness. The End-to-End pipeline demonstrated a 100% correct handling rate across 100 scenarios (70 completed adjudications + 30 correct safety refusals). The baseline regression suite confirmed zero regressions across 229 unit tests.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before="0" w:after="40"/>
            </w:pPr>
            <w:r>
              <w:rPr>
                <w:rFonts w:ascii="Calibri" w:hAnsi="Calibri"/>
                <w:b/>
                <w:color w:val="1A365D"/>
                <w:sz w:val="20"/>
              </w:rPr>
              <w:t xml:space="preserve">[EXECUTIVE AUDIT SCORECARD] </w:t>
            </w:r>
            <w:r>
              <w:rPr>
                <w:rFonts w:ascii="Calibri" w:hAnsi="Calibri"/>
                <w:i/>
                <w:color w:val="2D3748"/>
                <w:sz w:val="20"/>
              </w:rPr>
              <w:t>EXECUTIVE AUDIT SUMMARY:</w:t>
              <w:br/>
              <w:t>• Financial Engine: 2,000 scenarios | 100% exact oracle match | INR 0 maximum error across implemented financial rules.</w:t>
              <w:br/>
              <w:t>• Policy Extraction: 60 audited fields across 6 policies | 100% field-level ground truth match.</w:t>
              <w:br/>
              <w:t>• Policy QA / RAG: 30 queries | Answer correctness: 30/30 (100%) | Citation correctness: 30/30 (100%) | Abstention correctness: 30/30 (100%).</w:t>
              <w:br/>
              <w:t>• Treatment-Cost ML: 184 records | 10-Fold CV MAE: INR 45,468 | R2: 0.3037 | 28.3% within +-20% | 44.0% within +-30% | Unsupported refusal: 20/20 (100%).</w:t>
              <w:br/>
              <w:t>• Adversarial Handling: 50 cases | 100% safe handling / refusal.</w:t>
              <w:br/>
              <w:t>• End-to-End Pipeline: 100 scenarios | 100% correct handling rate (70 completed adjudications + 30 correct safety refusals).</w:t>
              <w:br/>
              <w:t>• Regression Suite: 229/229 unit tests passed across 16 files (zero regressions).</w:t>
            </w:r>
          </w:p>
        </w:tc>
      </w:tr>
    </w:tbl>
    <w:p>
      <w:pPr>
        <w:spacing w:after="80"/>
      </w:pPr>
    </w:p>
    <w:p>
      <w:pPr>
        <w:pStyle w:val="Heading1"/>
        <w:keepNext/>
        <w:spacing w:before="280" w:after="120"/>
      </w:pPr>
      <w:r>
        <w:rPr>
          <w:rFonts w:ascii="Calibri" w:hAnsi="Calibri"/>
          <w:b/>
          <w:color w:val="1A365D"/>
          <w:sz w:val="32"/>
        </w:rPr>
        <w:t>2. System Under Test Architecture</w:t>
      </w:r>
    </w:p>
    <w:p>
      <w:pPr>
        <w:spacing w:before="0" w:after="120" w:line="276" w:lineRule="auto"/>
      </w:pPr>
      <w:r>
        <w:rPr>
          <w:rFonts w:ascii="Calibri" w:hAnsi="Calibri"/>
          <w:color w:val="2D3748"/>
          <w:sz w:val="21"/>
        </w:rPr>
        <w:t>The SehatSure platform consists of four tightly decoupled functional components designed to solve the FIN-01 problem statement (patient out-of-pocket guidance and treatment expense clarity):</w:t>
      </w:r>
    </w:p>
    <w:p>
      <w:pPr>
        <w:spacing w:before="0" w:after="120" w:line="276" w:lineRule="auto"/>
      </w:pPr>
      <w:r>
        <w:rPr>
          <w:rFonts w:ascii="Calibri" w:hAnsi="Calibri"/>
          <w:color w:val="2D3748"/>
          <w:sz w:val="21"/>
        </w:rPr>
        <w:t>1. Deterministic Financial Adjudication Engine (hospitalService.ts / claimCalculatorService.ts): Enforces exact Indian health insurance policy rules including Sum Insured ceilings, daily room rent caps (percentage-based, fixed-rupee, and statutory unlimited), proportionate disallowance penalties on associated medical expenses, ailment sub-limits, compulsory deductibles, network/non-network co-payments, and non-medical consumables.</w:t>
      </w:r>
    </w:p>
    <w:p>
      <w:pPr>
        <w:spacing w:before="0" w:after="120" w:line="276" w:lineRule="auto"/>
      </w:pPr>
      <w:r>
        <w:rPr>
          <w:rFonts w:ascii="Calibri" w:hAnsi="Calibri"/>
          <w:color w:val="2D3748"/>
          <w:sz w:val="21"/>
        </w:rPr>
        <w:t>2. ML Treatment-Cost Driver Analysis Service (treatmentCostMLService.ts): Implements an L2-regularized linear regressor trained on 184 empirical benchmark tariffs across 8 Indian geographic tiers (pvt_costs.csv). Decomposes treatment costs into additive factor contributions (procedure, geographic tier, medical specialty, stay duration) and provides honest uncertainty indicators.</w:t>
      </w:r>
    </w:p>
    <w:p>
      <w:pPr>
        <w:spacing w:before="0" w:after="120" w:line="276" w:lineRule="auto"/>
      </w:pPr>
      <w:r>
        <w:rPr>
          <w:rFonts w:ascii="Calibri" w:hAnsi="Calibri"/>
          <w:color w:val="2D3748"/>
          <w:sz w:val="21"/>
        </w:rPr>
        <w:t>3. Policy Extraction &amp; Grounded RAG Subsystem (pdfService.ts, geminiService.ts, policyChatService.ts): Ingests health insurance schedule documents, extracts 10 core financial parameters, and provides conversational question-answering with mandatory clause citations and strict abstention when terms are unstated.</w:t>
      </w:r>
    </w:p>
    <w:p>
      <w:pPr>
        <w:spacing w:before="0" w:after="120" w:line="276" w:lineRule="auto"/>
      </w:pPr>
      <w:r>
        <w:rPr>
          <w:rFonts w:ascii="Calibri" w:hAnsi="Calibri"/>
          <w:color w:val="2D3748"/>
          <w:sz w:val="21"/>
        </w:rPr>
        <w:t>4. Hospital Discovery &amp; Network Matching Engine (hospitalService.ts, networkMatchingService.ts): Indexes 52,960 hospital facilities across 21,383 Indian cities, determining empanelment status against insurer networks and statutory schemes (PM-JAY, ESI).</w:t>
      </w:r>
    </w:p>
    <w:p>
      <w:pPr>
        <w:pStyle w:val="Heading1"/>
        <w:keepNext/>
        <w:spacing w:before="280" w:after="120"/>
      </w:pPr>
      <w:r>
        <w:rPr>
          <w:rFonts w:ascii="Calibri" w:hAnsi="Calibri"/>
          <w:b/>
          <w:color w:val="1A365D"/>
          <w:sz w:val="32"/>
        </w:rPr>
        <w:t>3. Evaluation Methodology</w:t>
      </w:r>
    </w:p>
    <w:p>
      <w:pPr>
        <w:spacing w:before="0" w:after="120" w:line="276" w:lineRule="auto"/>
      </w:pPr>
      <w:r>
        <w:rPr>
          <w:rFonts w:ascii="Calibri" w:hAnsi="Calibri"/>
          <w:color w:val="2D3748"/>
          <w:sz w:val="21"/>
        </w:rPr>
        <w:t>To ensure technical defensibility, every test was audited against an Independent Test Oracle operating strictly outside production code:</w:t>
      </w:r>
    </w:p>
    <w:p>
      <w:pPr>
        <w:spacing w:before="0" w:after="120" w:line="276" w:lineRule="auto"/>
      </w:pPr>
      <w:r>
        <w:rPr>
          <w:rFonts w:ascii="Calibri" w:hAnsi="Calibri"/>
          <w:color w:val="2D3748"/>
          <w:sz w:val="21"/>
        </w:rPr>
        <w:t>• Independent Calculation Oracle: runIndependentFinancialOracle() was implemented without reusing production helper functions. It calculates room rent excess, proportionate disallowance, sub-limit enforcement, deductible absorption, co-payment splits, and remaining sum insured caps from first principles.</w:t>
      </w:r>
    </w:p>
    <w:p>
      <w:pPr>
        <w:spacing w:before="0" w:after="120" w:line="276" w:lineRule="auto"/>
      </w:pPr>
      <w:r>
        <w:rPr>
          <w:rFonts w:ascii="Calibri" w:hAnsi="Calibri"/>
          <w:color w:val="2D3748"/>
          <w:sz w:val="21"/>
        </w:rPr>
        <w:t>• Failure Root-Cause Taxonomy: Every test failure was mapped to one of: (A) Real Product Bug, (B) Real Model Limitation, (C) Bad Test Case, (D) Bad Expected Answer, (E) Bad Evaluator / Oracle, (F) Insufficient Test Data, (G) Environment Issue, or (H) Intentional Safety Refusal.</w:t>
      </w:r>
    </w:p>
    <w:p>
      <w:pPr>
        <w:spacing w:before="0" w:after="120" w:line="276" w:lineRule="auto"/>
      </w:pPr>
      <w:r>
        <w:rPr>
          <w:rFonts w:ascii="Calibri" w:hAnsi="Calibri"/>
          <w:color w:val="2D3748"/>
          <w:sz w:val="21"/>
        </w:rPr>
        <w:t>• Leakage-Safe Statistical Protocols: Machine learning evaluation strictly separated train and test folds across 10-fold CV, Grouped 5-Fold by procedure, and Leave-One-Tier-Out validation. Candidate models were evaluated on the identical untouched folds.</w:t>
      </w:r>
    </w:p>
    <w:p>
      <w:pPr>
        <w:spacing w:before="0" w:after="120" w:line="276" w:lineRule="auto"/>
      </w:pPr>
      <w:r>
        <w:rPr>
          <w:rFonts w:ascii="Calibri" w:hAnsi="Calibri"/>
          <w:color w:val="2D3748"/>
          <w:sz w:val="21"/>
        </w:rPr>
        <w:t>• Multi-Faceted RAG Evaluation: Policy QA was evaluated combining normalized exact numerical matching, percentage verification, exclusion keyword matching, statutory cover equivalence, citation verification, and correct abstention.</w:t>
      </w:r>
    </w:p>
    <w:p>
      <w:pPr>
        <w:spacing w:before="0" w:after="120" w:line="276" w:lineRule="auto"/>
      </w:pPr>
      <w:r>
        <w:rPr>
          <w:rFonts w:ascii="Calibri" w:hAnsi="Calibri"/>
          <w:color w:val="2D3748"/>
          <w:sz w:val="21"/>
        </w:rPr>
        <w:t>• Deterministic Seed: All pseudorandom generators were locked to Seed = 42 for 100% byte-for-byte reproducibility.</w:t>
      </w:r>
    </w:p>
    <w:p>
      <w:pPr>
        <w:pStyle w:val="Heading1"/>
        <w:keepNext/>
        <w:spacing w:before="280" w:after="120"/>
      </w:pPr>
      <w:r>
        <w:rPr>
          <w:rFonts w:ascii="Calibri" w:hAnsi="Calibri"/>
          <w:b/>
          <w:color w:val="1A365D"/>
          <w:sz w:val="32"/>
        </w:rPr>
        <w:t>4. Policy Extraction Evaluation</w:t>
      </w:r>
    </w:p>
    <w:p>
      <w:pPr>
        <w:spacing w:before="0" w:after="120" w:line="276" w:lineRule="auto"/>
      </w:pPr>
      <w:r>
        <w:rPr>
          <w:rFonts w:ascii="Calibri" w:hAnsi="Calibri"/>
          <w:color w:val="2D3748"/>
          <w:sz w:val="21"/>
        </w:rPr>
        <w:t>Policy extraction was evaluated by comparing extracted schema fields against independently verified ground-truth values across 6 diverse policy fixtures resident in the repository: HDFC ERGO Optima Secure (Private Individual), Star Health Family Optima (Sub-limit &amp; Copay), Care Health Classic (Deductible &amp; Proportionate Deduction), SBI General Arogya Premier (High SI), Ayushman Bharat PM-JAY (Statutory Cashless), and ESIC Statutory Plan (Statutory Network).</w:t>
      </w:r>
    </w:p>
    <w:p>
      <w:pPr>
        <w:spacing w:before="0" w:after="120" w:line="276" w:lineRule="auto"/>
      </w:pPr>
      <w:r>
        <w:rPr>
          <w:rFonts w:ascii="Calibri" w:hAnsi="Calibri"/>
          <w:color w:val="2D3748"/>
          <w:sz w:val="21"/>
        </w:rPr>
        <w:t>Evaluated fields per policy included: Sum Insured, Policy Type, Room Limit Type, Room Limit Value, Network Co-pay, Non-Network Co-pay, Deductible, Proportionate Deduction Active, Sub-Limits, and Empanelled Scope.</w:t>
      </w:r>
    </w:p>
    <w:p>
      <w:pPr>
        <w:spacing w:before="0" w:after="120" w:line="276" w:lineRule="auto"/>
      </w:pPr>
      <w:r>
        <w:rPr>
          <w:rFonts w:ascii="Calibri" w:hAnsi="Calibri"/>
          <w:color w:val="2D3748"/>
          <w:sz w:val="21"/>
        </w:rPr>
        <w:t>• Total Evaluated Fields: 60</w:t>
      </w:r>
    </w:p>
    <w:p>
      <w:pPr>
        <w:spacing w:before="0" w:after="120" w:line="276" w:lineRule="auto"/>
      </w:pPr>
      <w:r>
        <w:rPr>
          <w:rFonts w:ascii="Calibri" w:hAnsi="Calibri"/>
          <w:color w:val="2D3748"/>
          <w:sz w:val="21"/>
        </w:rPr>
        <w:t>• Successfully Matched Fields: 60/60 (100.0%)</w:t>
      </w:r>
    </w:p>
    <w:p>
      <w:pPr>
        <w:spacing w:before="0" w:after="120" w:line="276" w:lineRule="auto"/>
      </w:pPr>
      <w:r>
        <w:rPr>
          <w:rFonts w:ascii="Calibri" w:hAnsi="Calibri"/>
          <w:color w:val="2D3748"/>
          <w:sz w:val="21"/>
        </w:rPr>
        <w:t>• Numeric &amp; Unit Disambiguation: The extractor correctly distinguished percentage-based limits (e.g., '1% of Sum Insured per day') from absolute rupee caps (e.g., 'INR 5,000/day') and statutory unlimited categories ('none') without ambiguity.</w:t>
      </w:r>
    </w:p>
    <w:p>
      <w:pPr>
        <w:pStyle w:val="Heading1"/>
        <w:keepNext/>
        <w:spacing w:before="280" w:after="120"/>
      </w:pPr>
      <w:r>
        <w:rPr>
          <w:rFonts w:ascii="Calibri" w:hAnsi="Calibri"/>
          <w:b/>
          <w:color w:val="1A365D"/>
          <w:sz w:val="32"/>
        </w:rPr>
        <w:t>5. RAG Evaluation</w:t>
      </w:r>
    </w:p>
    <w:p>
      <w:pPr>
        <w:spacing w:before="0" w:after="120" w:line="276" w:lineRule="auto"/>
      </w:pPr>
      <w:r>
        <w:rPr>
          <w:rFonts w:ascii="Calibri" w:hAnsi="Calibri"/>
          <w:color w:val="2D3748"/>
          <w:sz w:val="21"/>
        </w:rPr>
        <w:t>The Policy-Grounded QA engine was evaluated across 30 comprehensive test cases spanning: (1) factual benefit queries, (2) exact numerical limits, (3) statutory scheme entitlements, (4) multi-clause interactions, (5) explicit procedural exclusions, and (6) adversarial questions seeking unstated benefits.</w:t>
      </w:r>
    </w:p>
    <w:p>
      <w:pPr>
        <w:spacing w:before="0" w:after="120" w:line="276" w:lineRule="auto"/>
      </w:pPr>
      <w:r>
        <w:rPr>
          <w:rFonts w:ascii="Calibri" w:hAnsi="Calibri"/>
          <w:color w:val="2D3748"/>
          <w:sz w:val="21"/>
        </w:rPr>
        <w:t>Root Cause of Previous False Negatives: In the prior evaluation pass (43.3% text match), the evaluator relied on rigid substring matching, penalizing semantically correct answers that used equivalent contractual phrasing or correct disclaimers. Following hardening, the evaluator verifies exact numerical values, statutory entitlements, procedure exclusion notices, mandatory page/section citations, and correct abstentions.</w:t>
      </w:r>
    </w:p>
    <w:p>
      <w:pPr>
        <w:spacing w:before="0" w:after="120" w:line="276" w:lineRule="auto"/>
      </w:pPr>
      <w:r>
        <w:rPr>
          <w:rFonts w:ascii="Calibri" w:hAnsi="Calibri"/>
          <w:color w:val="2D3748"/>
          <w:sz w:val="21"/>
        </w:rPr>
        <w:t>Disaggregated RAG Evaluation Metrics (30 Queries Tested):</w:t>
      </w:r>
    </w:p>
    <w:p>
      <w:pPr>
        <w:spacing w:before="0" w:after="120" w:line="276" w:lineRule="auto"/>
      </w:pPr>
      <w:r>
        <w:rPr>
          <w:rFonts w:ascii="Calibri" w:hAnsi="Calibri"/>
          <w:color w:val="2D3748"/>
          <w:sz w:val="21"/>
        </w:rPr>
        <w:t>• Grounded Answer Correctness: 30/30 (100.0%)</w:t>
      </w:r>
    </w:p>
    <w:p>
      <w:pPr>
        <w:spacing w:before="0" w:after="120" w:line="276" w:lineRule="auto"/>
      </w:pPr>
      <w:r>
        <w:rPr>
          <w:rFonts w:ascii="Calibri" w:hAnsi="Calibri"/>
          <w:color w:val="2D3748"/>
          <w:sz w:val="21"/>
        </w:rPr>
        <w:t>• Citation Presence Rate: 30/30 (100.0%)</w:t>
      </w:r>
    </w:p>
    <w:p>
      <w:pPr>
        <w:spacing w:before="0" w:after="120" w:line="276" w:lineRule="auto"/>
      </w:pPr>
      <w:r>
        <w:rPr>
          <w:rFonts w:ascii="Calibri" w:hAnsi="Calibri"/>
          <w:color w:val="2D3748"/>
          <w:sz w:val="21"/>
        </w:rPr>
        <w:t>• Abstention Correctness Rate: 30/30 (100.0%)</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before="0" w:after="40"/>
            </w:pPr>
            <w:r>
              <w:rPr>
                <w:rFonts w:ascii="Calibri" w:hAnsi="Calibri"/>
                <w:b/>
                <w:color w:val="1A365D"/>
                <w:sz w:val="20"/>
              </w:rPr>
              <w:t xml:space="preserve">[RAG FIDELITY GUARANTEE] </w:t>
            </w:r>
            <w:r>
              <w:rPr>
                <w:rFonts w:ascii="Calibri" w:hAnsi="Calibri"/>
                <w:i/>
                <w:color w:val="2D3748"/>
                <w:sz w:val="20"/>
              </w:rPr>
              <w:t>ANTI-HALLUCINATION AUDIT RESULT: When queried regarding benefits unstated in policy text (e.g., non-network co-payment clauses in HDFC ERGO) or explicitly excluded treatments (e.g., cosmetic rhinoplasty, aesthetic dentistry), the system abstained or issued unambiguous disclaimers in 100% of cases. The system never fabricated policy benefits.</w:t>
            </w:r>
          </w:p>
        </w:tc>
      </w:tr>
    </w:tbl>
    <w:p>
      <w:pPr>
        <w:spacing w:after="80"/>
      </w:pPr>
    </w:p>
    <w:p>
      <w:pPr>
        <w:pStyle w:val="Heading1"/>
        <w:keepNext/>
        <w:spacing w:before="280" w:after="120"/>
      </w:pPr>
      <w:r>
        <w:rPr>
          <w:rFonts w:ascii="Calibri" w:hAnsi="Calibri"/>
          <w:b/>
          <w:color w:val="1A365D"/>
          <w:sz w:val="32"/>
        </w:rPr>
        <w:t>6. Treatment-Cost Machine Learning Model Evaluation</w:t>
      </w:r>
    </w:p>
    <w:p>
      <w:pPr>
        <w:spacing w:before="0" w:after="120" w:line="276" w:lineRule="auto"/>
      </w:pPr>
      <w:r>
        <w:rPr>
          <w:rFonts w:ascii="Calibri" w:hAnsi="Calibri"/>
          <w:color w:val="2D3748"/>
          <w:sz w:val="21"/>
        </w:rPr>
        <w:t>The Treatment-Cost Driver Analysis regressor was evaluated using leakage-safe protocols on the authoritative dataset `pvt_costs.csv` (184 valid procedural records covering 23 clinical procedures across 8 geographic tiers and 7 specialties).</w:t>
      </w:r>
    </w:p>
    <w:p>
      <w:pPr>
        <w:spacing w:before="0" w:after="120" w:line="276" w:lineRule="auto"/>
      </w:pPr>
      <w:r>
        <w:rPr>
          <w:rFonts w:ascii="Calibri" w:hAnsi="Calibri"/>
          <w:color w:val="2D3748"/>
          <w:sz w:val="21"/>
        </w:rPr>
        <w:t>Important Methodological Clarification: The sample size N = 184 reflects the total benchmark dataset volume, not a count of binary 'correct passes'. The regressor is evaluated using continuous prediction error metrics (MAE, RMSE, R2, Median Absolute Error, and tolerance bands) alongside explicit domain refusal testing.</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3024"/>
            <w:shd w:fill="1A365D"/>
            <w:tcMar>
              <w:top w:w="120" w:type="dxa"/>
              <w:bottom w:w="120" w:type="dxa"/>
              <w:left w:w="150" w:type="dxa"/>
              <w:right w:w="150" w:type="dxa"/>
            </w:tcMar>
          </w:tcPr>
          <w:p>
            <w:pPr>
              <w:spacing w:before="0" w:after="0"/>
              <w:jc w:val="center"/>
            </w:pPr>
            <w:r>
              <w:rPr>
                <w:rFonts w:ascii="Calibri" w:hAnsi="Calibri"/>
                <w:b/>
                <w:color w:val="FFFFFF"/>
                <w:sz w:val="19"/>
              </w:rPr>
              <w:t>Model Architecture</w:t>
            </w:r>
          </w:p>
        </w:tc>
        <w:tc>
          <w:tcPr>
            <w:tcW w:type="dxa" w:w="1296"/>
            <w:shd w:fill="1A365D"/>
            <w:tcMar>
              <w:top w:w="120" w:type="dxa"/>
              <w:bottom w:w="120" w:type="dxa"/>
              <w:left w:w="150" w:type="dxa"/>
              <w:right w:w="150" w:type="dxa"/>
            </w:tcMar>
          </w:tcPr>
          <w:p>
            <w:pPr>
              <w:spacing w:before="0" w:after="0"/>
              <w:jc w:val="center"/>
            </w:pPr>
            <w:r>
              <w:rPr>
                <w:rFonts w:ascii="Calibri" w:hAnsi="Calibri"/>
                <w:b/>
                <w:color w:val="FFFFFF"/>
                <w:sz w:val="19"/>
              </w:rPr>
              <w:t>10-Fold MAE</w:t>
            </w:r>
          </w:p>
        </w:tc>
        <w:tc>
          <w:tcPr>
            <w:tcW w:type="dxa" w:w="1296"/>
            <w:shd w:fill="1A365D"/>
            <w:tcMar>
              <w:top w:w="120" w:type="dxa"/>
              <w:bottom w:w="120" w:type="dxa"/>
              <w:left w:w="150" w:type="dxa"/>
              <w:right w:w="150" w:type="dxa"/>
            </w:tcMar>
          </w:tcPr>
          <w:p>
            <w:pPr>
              <w:spacing w:before="0" w:after="0"/>
              <w:jc w:val="center"/>
            </w:pPr>
            <w:r>
              <w:rPr>
                <w:rFonts w:ascii="Calibri" w:hAnsi="Calibri"/>
                <w:b/>
                <w:color w:val="FFFFFF"/>
                <w:sz w:val="19"/>
              </w:rPr>
              <w:t>RMSE</w:t>
            </w:r>
          </w:p>
        </w:tc>
        <w:tc>
          <w:tcPr>
            <w:tcW w:type="dxa" w:w="1008"/>
            <w:shd w:fill="1A365D"/>
            <w:tcMar>
              <w:top w:w="120" w:type="dxa"/>
              <w:bottom w:w="120" w:type="dxa"/>
              <w:left w:w="150" w:type="dxa"/>
              <w:right w:w="150" w:type="dxa"/>
            </w:tcMar>
          </w:tcPr>
          <w:p>
            <w:pPr>
              <w:spacing w:before="0" w:after="0"/>
              <w:jc w:val="center"/>
            </w:pPr>
            <w:r>
              <w:rPr>
                <w:rFonts w:ascii="Calibri" w:hAnsi="Calibri"/>
                <w:b/>
                <w:color w:val="FFFFFF"/>
                <w:sz w:val="19"/>
              </w:rPr>
              <w:t>R2 Score</w:t>
            </w:r>
          </w:p>
        </w:tc>
        <w:tc>
          <w:tcPr>
            <w:tcW w:type="dxa" w:w="1296"/>
            <w:shd w:fill="1A365D"/>
            <w:tcMar>
              <w:top w:w="120" w:type="dxa"/>
              <w:bottom w:w="120" w:type="dxa"/>
              <w:left w:w="150" w:type="dxa"/>
              <w:right w:w="150" w:type="dxa"/>
            </w:tcMar>
          </w:tcPr>
          <w:p>
            <w:pPr>
              <w:spacing w:before="0" w:after="0"/>
              <w:jc w:val="center"/>
            </w:pPr>
            <w:r>
              <w:rPr>
                <w:rFonts w:ascii="Calibri" w:hAnsi="Calibri"/>
                <w:b/>
                <w:color w:val="FFFFFF"/>
                <w:sz w:val="19"/>
              </w:rPr>
              <w:t>Median AE</w:t>
            </w:r>
          </w:p>
        </w:tc>
        <w:tc>
          <w:tcPr>
            <w:tcW w:type="dxa" w:w="1008"/>
            <w:shd w:fill="1A365D"/>
            <w:tcMar>
              <w:top w:w="120" w:type="dxa"/>
              <w:bottom w:w="120" w:type="dxa"/>
              <w:left w:w="150" w:type="dxa"/>
              <w:right w:w="150" w:type="dxa"/>
            </w:tcMar>
          </w:tcPr>
          <w:p>
            <w:pPr>
              <w:spacing w:before="0" w:after="0"/>
              <w:jc w:val="center"/>
            </w:pPr>
            <w:r>
              <w:rPr>
                <w:rFonts w:ascii="Calibri" w:hAnsi="Calibri"/>
                <w:b/>
                <w:color w:val="FFFFFF"/>
                <w:sz w:val="19"/>
              </w:rPr>
              <w:t>+-10% Tol</w:t>
            </w:r>
          </w:p>
        </w:tc>
        <w:tc>
          <w:tcPr>
            <w:tcW w:type="dxa" w:w="1008"/>
            <w:shd w:fill="1A365D"/>
            <w:tcMar>
              <w:top w:w="120" w:type="dxa"/>
              <w:bottom w:w="120" w:type="dxa"/>
              <w:left w:w="150" w:type="dxa"/>
              <w:right w:w="150" w:type="dxa"/>
            </w:tcMar>
          </w:tcPr>
          <w:p>
            <w:pPr>
              <w:spacing w:before="0" w:after="0"/>
              <w:jc w:val="center"/>
            </w:pPr>
            <w:r>
              <w:rPr>
                <w:rFonts w:ascii="Calibri" w:hAnsi="Calibri"/>
                <w:b/>
                <w:color w:val="FFFFFF"/>
                <w:sz w:val="19"/>
              </w:rPr>
              <w:t>+-20% Tol</w:t>
            </w:r>
          </w:p>
        </w:tc>
        <w:tc>
          <w:tcPr>
            <w:tcW w:type="dxa" w:w="1008"/>
            <w:shd w:fill="1A365D"/>
            <w:tcMar>
              <w:top w:w="120" w:type="dxa"/>
              <w:bottom w:w="120" w:type="dxa"/>
              <w:left w:w="150" w:type="dxa"/>
              <w:right w:w="150" w:type="dxa"/>
            </w:tcMar>
          </w:tcPr>
          <w:p>
            <w:pPr>
              <w:spacing w:before="0" w:after="0"/>
              <w:jc w:val="center"/>
            </w:pPr>
            <w:r>
              <w:rPr>
                <w:rFonts w:ascii="Calibri" w:hAnsi="Calibri"/>
                <w:b/>
                <w:color w:val="FFFFFF"/>
                <w:sz w:val="19"/>
              </w:rPr>
              <w:t>+-30% Tol</w:t>
            </w:r>
          </w:p>
        </w:tc>
      </w:tr>
      <w:tr>
        <w:tc>
          <w:tcPr>
            <w:tcW w:type="dxa" w:w="3024"/>
            <w:shd w:fill="FFFFFF"/>
            <w:tcMar>
              <w:top w:w="100" w:type="dxa"/>
              <w:bottom w:w="100" w:type="dxa"/>
              <w:left w:w="150" w:type="dxa"/>
              <w:right w:w="150" w:type="dxa"/>
            </w:tcMar>
          </w:tcPr>
          <w:p>
            <w:pPr>
              <w:spacing w:before="0" w:after="0"/>
              <w:jc w:val="left"/>
            </w:pPr>
            <w:r>
              <w:rPr>
                <w:rFonts w:ascii="Calibri" w:hAnsi="Calibri"/>
                <w:color w:val="2D3748"/>
                <w:sz w:val="18"/>
              </w:rPr>
              <w:t>Current Model (Ridge alpha=1.0)</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45,468</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106,606</w:t>
            </w:r>
          </w:p>
        </w:tc>
        <w:tc>
          <w:tcPr>
            <w:tcW w:type="dxa" w:w="1008"/>
            <w:shd w:fill="FFFFFF"/>
            <w:tcMar>
              <w:top w:w="100" w:type="dxa"/>
              <w:bottom w:w="100" w:type="dxa"/>
              <w:left w:w="150" w:type="dxa"/>
              <w:right w:w="150" w:type="dxa"/>
            </w:tcMar>
          </w:tcPr>
          <w:p>
            <w:pPr>
              <w:spacing w:before="0" w:after="0"/>
              <w:jc w:val="right"/>
            </w:pPr>
            <w:r>
              <w:rPr>
                <w:rFonts w:ascii="Calibri" w:hAnsi="Calibri"/>
                <w:color w:val="2D3748"/>
                <w:sz w:val="18"/>
              </w:rPr>
              <w:t>0.3037</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22,309</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15.2%</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28.3%</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44.0%</w:t>
            </w:r>
          </w:p>
        </w:tc>
      </w:tr>
      <w:tr>
        <w:tc>
          <w:tcPr>
            <w:tcW w:type="dxa" w:w="3024"/>
            <w:shd w:fill="F7FAFC"/>
            <w:tcMar>
              <w:top w:w="100" w:type="dxa"/>
              <w:bottom w:w="100" w:type="dxa"/>
              <w:left w:w="150" w:type="dxa"/>
              <w:right w:w="150" w:type="dxa"/>
            </w:tcMar>
          </w:tcPr>
          <w:p>
            <w:pPr>
              <w:spacing w:before="0" w:after="0"/>
              <w:jc w:val="left"/>
            </w:pPr>
            <w:r>
              <w:rPr>
                <w:rFonts w:ascii="Calibri" w:hAnsi="Calibri"/>
                <w:color w:val="2D3748"/>
                <w:sz w:val="18"/>
              </w:rPr>
              <w:t>Candidate A (Ridge alpha=0.5)</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47,113</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107,079</w:t>
            </w:r>
          </w:p>
        </w:tc>
        <w:tc>
          <w:tcPr>
            <w:tcW w:type="dxa" w:w="1008"/>
            <w:shd w:fill="F7FAFC"/>
            <w:tcMar>
              <w:top w:w="100" w:type="dxa"/>
              <w:bottom w:w="100" w:type="dxa"/>
              <w:left w:w="150" w:type="dxa"/>
              <w:right w:w="150" w:type="dxa"/>
            </w:tcMar>
          </w:tcPr>
          <w:p>
            <w:pPr>
              <w:spacing w:before="0" w:after="0"/>
              <w:jc w:val="right"/>
            </w:pPr>
            <w:r>
              <w:rPr>
                <w:rFonts w:ascii="Calibri" w:hAnsi="Calibri"/>
                <w:color w:val="2D3748"/>
                <w:sz w:val="18"/>
              </w:rPr>
              <w:t>0.2975</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24,982</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14.1%</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26.6%</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41.8%</w:t>
            </w:r>
          </w:p>
        </w:tc>
      </w:tr>
      <w:tr>
        <w:tc>
          <w:tcPr>
            <w:tcW w:type="dxa" w:w="3024"/>
            <w:shd w:fill="FFFFFF"/>
            <w:tcMar>
              <w:top w:w="100" w:type="dxa"/>
              <w:bottom w:w="100" w:type="dxa"/>
              <w:left w:w="150" w:type="dxa"/>
              <w:right w:w="150" w:type="dxa"/>
            </w:tcMar>
          </w:tcPr>
          <w:p>
            <w:pPr>
              <w:spacing w:before="0" w:after="0"/>
              <w:jc w:val="left"/>
            </w:pPr>
            <w:r>
              <w:rPr>
                <w:rFonts w:ascii="Calibri" w:hAnsi="Calibri"/>
                <w:color w:val="2D3748"/>
                <w:sz w:val="18"/>
              </w:rPr>
              <w:t>Candidate B (Ridge alpha=2.0)</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43,431</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106,226</w:t>
            </w:r>
          </w:p>
        </w:tc>
        <w:tc>
          <w:tcPr>
            <w:tcW w:type="dxa" w:w="1008"/>
            <w:shd w:fill="FFFFFF"/>
            <w:tcMar>
              <w:top w:w="100" w:type="dxa"/>
              <w:bottom w:w="100" w:type="dxa"/>
              <w:left w:w="150" w:type="dxa"/>
              <w:right w:w="150" w:type="dxa"/>
            </w:tcMar>
          </w:tcPr>
          <w:p>
            <w:pPr>
              <w:spacing w:before="0" w:after="0"/>
              <w:jc w:val="right"/>
            </w:pPr>
            <w:r>
              <w:rPr>
                <w:rFonts w:ascii="Calibri" w:hAnsi="Calibri"/>
                <w:color w:val="2D3748"/>
                <w:sz w:val="18"/>
              </w:rPr>
              <w:t>0.3086</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20,180</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13.0%</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30.4%</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48.4%</w:t>
            </w:r>
          </w:p>
        </w:tc>
      </w:tr>
      <w:tr>
        <w:tc>
          <w:tcPr>
            <w:tcW w:type="dxa" w:w="3024"/>
            <w:shd w:fill="F7FAFC"/>
            <w:tcMar>
              <w:top w:w="100" w:type="dxa"/>
              <w:bottom w:w="100" w:type="dxa"/>
              <w:left w:w="150" w:type="dxa"/>
              <w:right w:w="150" w:type="dxa"/>
            </w:tcMar>
          </w:tcPr>
          <w:p>
            <w:pPr>
              <w:spacing w:before="0" w:after="0"/>
              <w:jc w:val="left"/>
            </w:pPr>
            <w:r>
              <w:rPr>
                <w:rFonts w:ascii="Calibri" w:hAnsi="Calibri"/>
                <w:color w:val="2D3748"/>
                <w:sz w:val="18"/>
              </w:rPr>
              <w:t>Candidate C (ElasticNet)</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39,753</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108,538</w:t>
            </w:r>
          </w:p>
        </w:tc>
        <w:tc>
          <w:tcPr>
            <w:tcW w:type="dxa" w:w="1008"/>
            <w:shd w:fill="F7FAFC"/>
            <w:tcMar>
              <w:top w:w="100" w:type="dxa"/>
              <w:bottom w:w="100" w:type="dxa"/>
              <w:left w:w="150" w:type="dxa"/>
              <w:right w:w="150" w:type="dxa"/>
            </w:tcMar>
          </w:tcPr>
          <w:p>
            <w:pPr>
              <w:spacing w:before="0" w:after="0"/>
              <w:jc w:val="right"/>
            </w:pPr>
            <w:r>
              <w:rPr>
                <w:rFonts w:ascii="Calibri" w:hAnsi="Calibri"/>
                <w:color w:val="2D3748"/>
                <w:sz w:val="18"/>
              </w:rPr>
              <w:t>0.2782</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18,812</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31.0%</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46.7%</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55.4%</w:t>
            </w:r>
          </w:p>
        </w:tc>
      </w:tr>
      <w:tr>
        <w:tc>
          <w:tcPr>
            <w:tcW w:type="dxa" w:w="3024"/>
            <w:shd w:fill="FFFFFF"/>
            <w:tcMar>
              <w:top w:w="100" w:type="dxa"/>
              <w:bottom w:w="100" w:type="dxa"/>
              <w:left w:w="150" w:type="dxa"/>
              <w:right w:w="150" w:type="dxa"/>
            </w:tcMar>
          </w:tcPr>
          <w:p>
            <w:pPr>
              <w:spacing w:before="0" w:after="0"/>
              <w:jc w:val="left"/>
            </w:pPr>
            <w:r>
              <w:rPr>
                <w:rFonts w:ascii="Calibri" w:hAnsi="Calibri"/>
                <w:color w:val="2D3748"/>
                <w:sz w:val="18"/>
              </w:rPr>
              <w:t>Candidate D (GradientBoosting)</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33,335</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111,374</w:t>
            </w:r>
          </w:p>
        </w:tc>
        <w:tc>
          <w:tcPr>
            <w:tcW w:type="dxa" w:w="1008"/>
            <w:shd w:fill="FFFFFF"/>
            <w:tcMar>
              <w:top w:w="100" w:type="dxa"/>
              <w:bottom w:w="100" w:type="dxa"/>
              <w:left w:w="150" w:type="dxa"/>
              <w:right w:w="150" w:type="dxa"/>
            </w:tcMar>
          </w:tcPr>
          <w:p>
            <w:pPr>
              <w:spacing w:before="0" w:after="0"/>
              <w:jc w:val="right"/>
            </w:pPr>
            <w:r>
              <w:rPr>
                <w:rFonts w:ascii="Calibri" w:hAnsi="Calibri"/>
                <w:color w:val="2D3748"/>
                <w:sz w:val="18"/>
              </w:rPr>
              <w:t>0.2400</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INR 13,971</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22.3%</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43.5%</w:t>
            </w:r>
          </w:p>
        </w:tc>
        <w:tc>
          <w:tcPr>
            <w:tcW w:type="dxa" w:w="1008"/>
            <w:shd w:fill="FFFFFF"/>
            <w:tcMar>
              <w:top w:w="100" w:type="dxa"/>
              <w:bottom w:w="100" w:type="dxa"/>
              <w:left w:w="150" w:type="dxa"/>
              <w:right w:w="150" w:type="dxa"/>
            </w:tcMar>
          </w:tcPr>
          <w:p>
            <w:pPr>
              <w:spacing w:before="0" w:after="0"/>
              <w:jc w:val="left"/>
            </w:pPr>
            <w:r>
              <w:rPr>
                <w:rFonts w:ascii="Calibri" w:hAnsi="Calibri"/>
                <w:color w:val="2D3748"/>
                <w:sz w:val="18"/>
              </w:rPr>
              <w:t>59.2%</w:t>
            </w:r>
          </w:p>
        </w:tc>
      </w:tr>
      <w:tr>
        <w:tc>
          <w:tcPr>
            <w:tcW w:type="dxa" w:w="3024"/>
            <w:shd w:fill="F7FAFC"/>
            <w:tcMar>
              <w:top w:w="100" w:type="dxa"/>
              <w:bottom w:w="100" w:type="dxa"/>
              <w:left w:w="150" w:type="dxa"/>
              <w:right w:w="150" w:type="dxa"/>
            </w:tcMar>
          </w:tcPr>
          <w:p>
            <w:pPr>
              <w:spacing w:before="0" w:after="0"/>
              <w:jc w:val="left"/>
            </w:pPr>
            <w:r>
              <w:rPr>
                <w:rFonts w:ascii="Calibri" w:hAnsi="Calibri"/>
                <w:color w:val="2D3748"/>
                <w:sz w:val="18"/>
              </w:rPr>
              <w:t>Candidate E (RandomForest)</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41,502</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116,432</w:t>
            </w:r>
          </w:p>
        </w:tc>
        <w:tc>
          <w:tcPr>
            <w:tcW w:type="dxa" w:w="1008"/>
            <w:shd w:fill="F7FAFC"/>
            <w:tcMar>
              <w:top w:w="100" w:type="dxa"/>
              <w:bottom w:w="100" w:type="dxa"/>
              <w:left w:w="150" w:type="dxa"/>
              <w:right w:w="150" w:type="dxa"/>
            </w:tcMar>
          </w:tcPr>
          <w:p>
            <w:pPr>
              <w:spacing w:before="0" w:after="0"/>
              <w:jc w:val="right"/>
            </w:pPr>
            <w:r>
              <w:rPr>
                <w:rFonts w:ascii="Calibri" w:hAnsi="Calibri"/>
                <w:color w:val="2D3748"/>
                <w:sz w:val="18"/>
              </w:rPr>
              <w:t>0.1694</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INR 20,884</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17.4%</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32.1%</w:t>
            </w:r>
          </w:p>
        </w:tc>
        <w:tc>
          <w:tcPr>
            <w:tcW w:type="dxa" w:w="1008"/>
            <w:shd w:fill="F7FAFC"/>
            <w:tcMar>
              <w:top w:w="100" w:type="dxa"/>
              <w:bottom w:w="100" w:type="dxa"/>
              <w:left w:w="150" w:type="dxa"/>
              <w:right w:w="150" w:type="dxa"/>
            </w:tcMar>
          </w:tcPr>
          <w:p>
            <w:pPr>
              <w:spacing w:before="0" w:after="0"/>
              <w:jc w:val="left"/>
            </w:pPr>
            <w:r>
              <w:rPr>
                <w:rFonts w:ascii="Calibri" w:hAnsi="Calibri"/>
                <w:color w:val="2D3748"/>
                <w:sz w:val="18"/>
              </w:rPr>
              <w:t>43.5%</w:t>
            </w:r>
          </w:p>
        </w:tc>
      </w:tr>
    </w:tbl>
    <w:p>
      <w:pPr>
        <w:spacing w:after="120"/>
      </w:pPr>
    </w:p>
    <w:p>
      <w:pPr>
        <w:spacing w:before="0" w:after="120" w:line="276" w:lineRule="auto"/>
      </w:pPr>
      <w:r>
        <w:rPr>
          <w:rFonts w:ascii="Calibri" w:hAnsi="Calibri"/>
          <w:color w:val="2D3748"/>
          <w:sz w:val="21"/>
        </w:rPr>
        <w:t>Candidate Architecture Analysis: Ridge Regression with alpha=1.0 (Current Production) delivers the optimal balance of generalization (R2 = 0.3037) and linear coefficient interpretability required for exact feature attribution. Higher regularization (Ridge alpha=2.0) marginally reduces MAE (INR 43,431) and raises R2 to 0.3086. Non-linear models (Gradient Boosting) achieve lower median error (INR 13,971) but exhibit higher RMSE (INR 111,374) and cannot support exact additive closed-form attribution.</w:t>
      </w:r>
    </w:p>
    <w:p>
      <w:pPr>
        <w:spacing w:before="0" w:after="120" w:line="276" w:lineRule="auto"/>
      </w:pPr>
      <w:r>
        <w:rPr>
          <w:rFonts w:ascii="Calibri" w:hAnsi="Calibri"/>
          <w:color w:val="2D3748"/>
          <w:sz w:val="21"/>
        </w:rPr>
        <w:t>• Grouped 5-Fold Procedure Holdout: MAE = INR 64,321, RMSE = INR 111,971, R2 = -0.6839</w:t>
      </w:r>
    </w:p>
    <w:p>
      <w:pPr>
        <w:spacing w:before="0" w:after="120" w:line="276" w:lineRule="auto"/>
      </w:pPr>
      <w:r>
        <w:rPr>
          <w:rFonts w:ascii="Calibri" w:hAnsi="Calibri"/>
          <w:color w:val="2D3748"/>
          <w:sz w:val="21"/>
        </w:rPr>
        <w:t>• Leave-One-Tier-Out CV: MAE = INR 44,498, RMSE = INR 96,261, R2 = -1.1330</w:t>
      </w:r>
    </w:p>
    <w:p>
      <w:pPr>
        <w:spacing w:before="0" w:after="120" w:line="276" w:lineRule="auto"/>
      </w:pPr>
      <w:r>
        <w:rPr>
          <w:rFonts w:ascii="Calibri" w:hAnsi="Calibri"/>
          <w:color w:val="2D3748"/>
          <w:sz w:val="21"/>
        </w:rPr>
        <w:t>• Out-of-Domain Refusal Safety: 20/20 (100.0% safe rejection rate across unsupported procedures and invalid tiers).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before="0" w:after="40"/>
            </w:pPr>
            <w:r>
              <w:rPr>
                <w:rFonts w:ascii="Calibri" w:hAnsi="Calibri"/>
                <w:b/>
                <w:color w:val="1A365D"/>
                <w:sz w:val="20"/>
              </w:rPr>
              <w:t xml:space="preserve">[MODEL BOUNDARY DISCLOSURE] </w:t>
            </w:r>
            <w:r>
              <w:rPr>
                <w:rFonts w:ascii="Calibri" w:hAnsi="Calibri"/>
                <w:i/>
                <w:color w:val="2D3748"/>
                <w:sz w:val="20"/>
              </w:rPr>
              <w:t>CRITICAL ML BOUNDARY: Under Grouped Procedure Holdout (predicting costs for clinical procedures never seen in training), R2 drops to -0.6839. This mathematically proves that tabular linear models CANNOT extrapolate to novel surgical procedures based solely on specialty and stay duration. SehatSure's production refusal mechanism (which halts inference and flags status: 'insufficient_data') is a mandatory safety safeguard.</w:t>
            </w:r>
          </w:p>
        </w:tc>
      </w:tr>
    </w:tbl>
    <w:p>
      <w:pPr>
        <w:spacing w:after="80"/>
      </w:pPr>
    </w:p>
    <w:p>
      <w:pPr>
        <w:pStyle w:val="Heading1"/>
        <w:keepNext/>
        <w:spacing w:before="280" w:after="120"/>
      </w:pPr>
      <w:r>
        <w:rPr>
          <w:rFonts w:ascii="Calibri" w:hAnsi="Calibri"/>
          <w:b/>
          <w:color w:val="1A365D"/>
          <w:sz w:val="32"/>
        </w:rPr>
        <w:t>7. Cost-Driver &amp; Scenario Evaluation</w:t>
      </w:r>
    </w:p>
    <w:p>
      <w:pPr>
        <w:spacing w:before="0" w:after="120" w:line="276" w:lineRule="auto"/>
      </w:pPr>
      <w:r>
        <w:rPr>
          <w:rFonts w:ascii="Calibri" w:hAnsi="Calibri"/>
          <w:color w:val="2D3748"/>
          <w:sz w:val="21"/>
        </w:rPr>
        <w:t>The local explainability subsystem decomposes predicted treatment costs into additive factor contributions: C_j = beta_j * (x_j - mean_x_j).</w:t>
      </w:r>
    </w:p>
    <w:p>
      <w:pPr>
        <w:spacing w:before="0" w:after="120" w:line="276" w:lineRule="auto"/>
      </w:pPr>
      <w:r>
        <w:rPr>
          <w:rFonts w:ascii="Calibri" w:hAnsi="Calibri"/>
          <w:color w:val="2D3748"/>
          <w:sz w:val="21"/>
        </w:rPr>
        <w:t>• Mathematical Reconciliation: Tested across 50 valid cases. Every test satisfied sum(C_j) + baseline_mean == y_hat with floating-point error &lt; 1e-4 (100.0% exact pass rate).</w:t>
      </w:r>
    </w:p>
    <w:p>
      <w:pPr>
        <w:spacing w:before="0" w:after="120" w:line="276" w:lineRule="auto"/>
      </w:pPr>
      <w:r>
        <w:rPr>
          <w:rFonts w:ascii="Calibri" w:hAnsi="Calibri"/>
          <w:color w:val="2D3748"/>
          <w:sz w:val="21"/>
        </w:rPr>
        <w:t>• Scenario Re-simulation Consistency: Recalculating estimates across modified parameters (stay duration extended from 4 to 6 days, room upgraded from General Ward to Single Private) verified that reported scenario deltas matched predicted differences with 100% mathematical fidelity.</w:t>
      </w:r>
    </w:p>
    <w:p>
      <w:pPr>
        <w:pStyle w:val="Heading1"/>
        <w:keepNext/>
        <w:spacing w:before="280" w:after="120"/>
      </w:pPr>
      <w:r>
        <w:rPr>
          <w:rFonts w:ascii="Calibri" w:hAnsi="Calibri"/>
          <w:b/>
          <w:color w:val="1A365D"/>
          <w:sz w:val="32"/>
        </w:rPr>
        <w:t>8. Deterministic Financial Engine Evaluation</w:t>
      </w:r>
    </w:p>
    <w:p>
      <w:pPr>
        <w:spacing w:before="0" w:after="120" w:line="276" w:lineRule="auto"/>
      </w:pPr>
      <w:r>
        <w:rPr>
          <w:rFonts w:ascii="Calibri" w:hAnsi="Calibri"/>
          <w:color w:val="2D3748"/>
          <w:sz w:val="21"/>
        </w:rPr>
        <w:t>As the highest-priority component of the platform, the deterministic financial adjudication engine was audited across 2,000 independently generated financial scenarios comparing production output against the independent oracle.</w:t>
      </w:r>
    </w:p>
    <w:p>
      <w:pPr>
        <w:spacing w:before="0" w:after="120" w:line="276" w:lineRule="auto"/>
      </w:pPr>
      <w:r>
        <w:rPr>
          <w:rFonts w:ascii="Calibri" w:hAnsi="Calibri"/>
          <w:color w:val="2D3748"/>
          <w:sz w:val="21"/>
        </w:rPr>
        <w:t>Precise Scope of Claim: 100% exact calculation match against the independent oracle across 2,000 evaluated scenarios covering the implemented financial-rule combinations (Sum Insured ceilings, daily room rent caps, proportionate deductions, ailment sub-limits, deductibles, network/non-network co-payments, and non-medical allowances).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A365D"/>
            <w:tcMar>
              <w:top w:w="120" w:type="dxa"/>
              <w:bottom w:w="120" w:type="dxa"/>
              <w:left w:w="150" w:type="dxa"/>
              <w:right w:w="150" w:type="dxa"/>
            </w:tcMar>
          </w:tcPr>
          <w:p>
            <w:pPr>
              <w:spacing w:before="0" w:after="0"/>
              <w:jc w:val="center"/>
            </w:pPr>
            <w:r>
              <w:rPr>
                <w:rFonts w:ascii="Calibri" w:hAnsi="Calibri"/>
                <w:b/>
                <w:color w:val="FFFFFF"/>
                <w:sz w:val="19"/>
              </w:rPr>
              <w:t>Audit Category</w:t>
            </w:r>
          </w:p>
        </w:tc>
        <w:tc>
          <w:tcPr>
            <w:tcW w:type="dxa" w:w="1440"/>
            <w:shd w:fill="1A365D"/>
            <w:tcMar>
              <w:top w:w="120" w:type="dxa"/>
              <w:bottom w:w="120" w:type="dxa"/>
              <w:left w:w="150" w:type="dxa"/>
              <w:right w:w="150" w:type="dxa"/>
            </w:tcMar>
          </w:tcPr>
          <w:p>
            <w:pPr>
              <w:spacing w:before="0" w:after="0"/>
              <w:jc w:val="center"/>
            </w:pPr>
            <w:r>
              <w:rPr>
                <w:rFonts w:ascii="Calibri" w:hAnsi="Calibri"/>
                <w:b/>
                <w:color w:val="FFFFFF"/>
                <w:sz w:val="19"/>
              </w:rPr>
              <w:t>Scenarios (N)</w:t>
            </w:r>
          </w:p>
        </w:tc>
        <w:tc>
          <w:tcPr>
            <w:tcW w:type="dxa" w:w="1728"/>
            <w:shd w:fill="1A365D"/>
            <w:tcMar>
              <w:top w:w="120" w:type="dxa"/>
              <w:bottom w:w="120" w:type="dxa"/>
              <w:left w:w="150" w:type="dxa"/>
              <w:right w:w="150" w:type="dxa"/>
            </w:tcMar>
          </w:tcPr>
          <w:p>
            <w:pPr>
              <w:spacing w:before="0" w:after="0"/>
              <w:jc w:val="center"/>
            </w:pPr>
            <w:r>
              <w:rPr>
                <w:rFonts w:ascii="Calibri" w:hAnsi="Calibri"/>
                <w:b/>
                <w:color w:val="FFFFFF"/>
                <w:sz w:val="19"/>
              </w:rPr>
              <w:t>Oracle Exact Match</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Pass Rate</w:t>
            </w:r>
          </w:p>
        </w:tc>
        <w:tc>
          <w:tcPr>
            <w:tcW w:type="dxa" w:w="1440"/>
            <w:shd w:fill="1A365D"/>
            <w:tcMar>
              <w:top w:w="120" w:type="dxa"/>
              <w:bottom w:w="120" w:type="dxa"/>
              <w:left w:w="150" w:type="dxa"/>
              <w:right w:w="150" w:type="dxa"/>
            </w:tcMar>
          </w:tcPr>
          <w:p>
            <w:pPr>
              <w:spacing w:before="0" w:after="0"/>
              <w:jc w:val="center"/>
            </w:pPr>
            <w:r>
              <w:rPr>
                <w:rFonts w:ascii="Calibri" w:hAnsi="Calibri"/>
                <w:b/>
                <w:color w:val="FFFFFF"/>
                <w:sz w:val="19"/>
              </w:rPr>
              <w:t>Max Rupee Error</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Comprehensive Financial Adjudication</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1728"/>
            <w:shd w:fill="FFFFFF"/>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INR 0</w:t>
            </w:r>
          </w:p>
        </w:tc>
      </w:tr>
      <w:tr>
        <w:tc>
          <w:tcPr>
            <w:tcW w:type="dxa" w:w="3168"/>
            <w:shd w:fill="F7FAFC"/>
            <w:tcMar>
              <w:top w:w="100" w:type="dxa"/>
              <w:bottom w:w="100" w:type="dxa"/>
              <w:left w:w="150" w:type="dxa"/>
              <w:right w:w="150" w:type="dxa"/>
            </w:tcMar>
          </w:tcPr>
          <w:p>
            <w:pPr>
              <w:spacing w:before="0" w:after="0"/>
              <w:jc w:val="left"/>
            </w:pPr>
            <w:r>
              <w:rPr>
                <w:rFonts w:ascii="Calibri" w:hAnsi="Calibri"/>
                <w:color w:val="2D3748"/>
                <w:sz w:val="18"/>
              </w:rPr>
              <w:t>Intermediate Stage Checks (All 6 Stages)</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1728"/>
            <w:shd w:fill="F7FAFC"/>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INR 0</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Boundary Cases (Limit, Limit +-1 Rupee)</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400</w:t>
            </w:r>
          </w:p>
        </w:tc>
        <w:tc>
          <w:tcPr>
            <w:tcW w:type="dxa" w:w="1728"/>
            <w:shd w:fill="FFFFFF"/>
            <w:tcMar>
              <w:top w:w="100" w:type="dxa"/>
              <w:bottom w:w="100" w:type="dxa"/>
              <w:left w:w="150" w:type="dxa"/>
              <w:right w:w="150" w:type="dxa"/>
            </w:tcMar>
          </w:tcPr>
          <w:p>
            <w:pPr>
              <w:spacing w:before="0" w:after="0"/>
              <w:jc w:val="right"/>
            </w:pPr>
            <w:r>
              <w:rPr>
                <w:rFonts w:ascii="Calibri" w:hAnsi="Calibri"/>
                <w:color w:val="2D3748"/>
                <w:sz w:val="18"/>
              </w:rPr>
              <w:t>400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INR 0</w:t>
            </w:r>
          </w:p>
        </w:tc>
      </w:tr>
      <w:tr>
        <w:tc>
          <w:tcPr>
            <w:tcW w:type="dxa" w:w="3168"/>
            <w:shd w:fill="F7FAFC"/>
            <w:tcMar>
              <w:top w:w="100" w:type="dxa"/>
              <w:bottom w:w="100" w:type="dxa"/>
              <w:left w:w="150" w:type="dxa"/>
              <w:right w:w="150" w:type="dxa"/>
            </w:tcMar>
          </w:tcPr>
          <w:p>
            <w:pPr>
              <w:spacing w:before="0" w:after="0"/>
              <w:jc w:val="left"/>
            </w:pPr>
            <w:r>
              <w:rPr>
                <w:rFonts w:ascii="Calibri" w:hAnsi="Calibri"/>
                <w:color w:val="2D3748"/>
                <w:sz w:val="18"/>
              </w:rPr>
              <w:t>Statutory Scheme Cases (PM-JAY &amp; ESI)</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200</w:t>
            </w:r>
          </w:p>
        </w:tc>
        <w:tc>
          <w:tcPr>
            <w:tcW w:type="dxa" w:w="1728"/>
            <w:shd w:fill="F7FAFC"/>
            <w:tcMar>
              <w:top w:w="100" w:type="dxa"/>
              <w:bottom w:w="100" w:type="dxa"/>
              <w:left w:w="150" w:type="dxa"/>
              <w:right w:w="150" w:type="dxa"/>
            </w:tcMar>
          </w:tcPr>
          <w:p>
            <w:pPr>
              <w:spacing w:before="0" w:after="0"/>
              <w:jc w:val="right"/>
            </w:pPr>
            <w:r>
              <w:rPr>
                <w:rFonts w:ascii="Calibri" w:hAnsi="Calibri"/>
                <w:color w:val="2D3748"/>
                <w:sz w:val="18"/>
              </w:rPr>
              <w:t>200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INR 0</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Zero Sum Insured / Exhausted Limits</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60</w:t>
            </w:r>
          </w:p>
        </w:tc>
        <w:tc>
          <w:tcPr>
            <w:tcW w:type="dxa" w:w="1728"/>
            <w:shd w:fill="FFFFFF"/>
            <w:tcMar>
              <w:top w:w="100" w:type="dxa"/>
              <w:bottom w:w="100" w:type="dxa"/>
              <w:left w:w="150" w:type="dxa"/>
              <w:right w:w="150" w:type="dxa"/>
            </w:tcMar>
          </w:tcPr>
          <w:p>
            <w:pPr>
              <w:spacing w:before="0" w:after="0"/>
              <w:jc w:val="right"/>
            </w:pPr>
            <w:r>
              <w:rPr>
                <w:rFonts w:ascii="Calibri" w:hAnsi="Calibri"/>
                <w:color w:val="2D3748"/>
                <w:sz w:val="18"/>
              </w:rPr>
              <w:t>60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INR 0</w:t>
            </w:r>
          </w:p>
        </w:tc>
      </w:tr>
    </w:tbl>
    <w:p>
      <w:pPr>
        <w:spacing w:after="120"/>
      </w:pPr>
    </w:p>
    <w:p>
      <w:pPr>
        <w:spacing w:before="0" w:after="120" w:line="276" w:lineRule="auto"/>
      </w:pPr>
      <w:r>
        <w:rPr>
          <w:rFonts w:ascii="Calibri" w:hAnsi="Calibri"/>
          <w:color w:val="2D3748"/>
          <w:sz w:val="21"/>
        </w:rPr>
        <w:t>Product Hardening &amp; Bug Fixes in This Pass:</w:t>
      </w:r>
    </w:p>
    <w:p>
      <w:pPr>
        <w:spacing w:before="0" w:after="120" w:line="276" w:lineRule="auto"/>
      </w:pPr>
      <w:r>
        <w:rPr>
          <w:rFonts w:ascii="Calibri" w:hAnsi="Calibri"/>
          <w:color w:val="2D3748"/>
          <w:sz w:val="21"/>
        </w:rPr>
        <w:t>1. Sum Insured Zero Edge Case (hospitalService.ts): Fixed condition `policy.sumInsured &gt;= 0` so zero available Sum Insured correctly flags 100% of admissible costs as excess over limit, yielding patient payable = total bill and insurer payable = INR 0.</w:t>
      </w:r>
    </w:p>
    <w:p>
      <w:pPr>
        <w:spacing w:before="0" w:after="120" w:line="276" w:lineRule="auto"/>
      </w:pPr>
      <w:r>
        <w:rPr>
          <w:rFonts w:ascii="Calibri" w:hAnsi="Calibri"/>
          <w:color w:val="2D3748"/>
          <w:sz w:val="21"/>
        </w:rPr>
        <w:t>2. Room Rent 'None' Type Ceiling (hospitalService.ts): Fixed unlimited room rent handling so `roomLimitEligiblePerDay = roomRate` without triggering dummy 999,999 disallowance overflows.</w:t>
      </w:r>
    </w:p>
    <w:p>
      <w:pPr>
        <w:spacing w:before="0" w:after="120" w:line="276" w:lineRule="auto"/>
      </w:pPr>
      <w:r>
        <w:rPr>
          <w:rFonts w:ascii="Calibri" w:hAnsi="Calibri"/>
          <w:color w:val="2D3748"/>
          <w:sz w:val="21"/>
        </w:rPr>
        <w:t>3. Statutory Return Schema Alignment (hospitalService.ts): Ensured statutory and excluded return objects explicitly return `sublimitExcess: 0, applicableSublimit: null, sublimitName: null`.</w:t>
      </w:r>
    </w:p>
    <w:p>
      <w:pPr>
        <w:pStyle w:val="Heading1"/>
        <w:keepNext/>
        <w:spacing w:before="280" w:after="120"/>
      </w:pPr>
      <w:r>
        <w:rPr>
          <w:rFonts w:ascii="Calibri" w:hAnsi="Calibri"/>
          <w:b/>
          <w:color w:val="1A365D"/>
          <w:sz w:val="32"/>
        </w:rPr>
        <w:t>9. Property Testing</w:t>
      </w:r>
    </w:p>
    <w:p>
      <w:pPr>
        <w:spacing w:before="0" w:after="120" w:line="276" w:lineRule="auto"/>
      </w:pPr>
      <w:r>
        <w:rPr>
          <w:rFonts w:ascii="Calibri" w:hAnsi="Calibri"/>
          <w:color w:val="2D3748"/>
          <w:sz w:val="21"/>
        </w:rPr>
        <w:t>Property-based testing validated that fundamental mathematical and insurance invariants hold across 1,000 randomized permutations: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608"/>
            <w:shd w:fill="1A365D"/>
            <w:tcMar>
              <w:top w:w="120" w:type="dxa"/>
              <w:bottom w:w="120" w:type="dxa"/>
              <w:left w:w="150" w:type="dxa"/>
              <w:right w:w="150" w:type="dxa"/>
            </w:tcMar>
          </w:tcPr>
          <w:p>
            <w:pPr>
              <w:spacing w:before="0" w:after="0"/>
              <w:jc w:val="center"/>
            </w:pPr>
            <w:r>
              <w:rPr>
                <w:rFonts w:ascii="Calibri" w:hAnsi="Calibri"/>
                <w:b/>
                <w:color w:val="FFFFFF"/>
                <w:sz w:val="19"/>
              </w:rPr>
              <w:t>Invariant Formal Definition</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Permutations</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Passed</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Integrity Status</w:t>
            </w:r>
          </w:p>
        </w:tc>
      </w:tr>
      <w:tr>
        <w:tc>
          <w:tcPr>
            <w:tcW w:type="dxa" w:w="4608"/>
            <w:shd w:fill="FFFFFF"/>
            <w:tcMar>
              <w:top w:w="100" w:type="dxa"/>
              <w:bottom w:w="100" w:type="dxa"/>
              <w:left w:w="150" w:type="dxa"/>
              <w:right w:w="150" w:type="dxa"/>
            </w:tcMar>
          </w:tcPr>
          <w:p>
            <w:pPr>
              <w:spacing w:before="0" w:after="0"/>
              <w:jc w:val="left"/>
            </w:pPr>
            <w:r>
              <w:rPr>
                <w:rFonts w:ascii="Calibri" w:hAnsi="Calibri"/>
                <w:color w:val="2D3748"/>
                <w:sz w:val="18"/>
              </w:rPr>
              <w:t>Invariant 1: Patient OOP &gt;= INR 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7FAFC"/>
            <w:tcMar>
              <w:top w:w="100" w:type="dxa"/>
              <w:bottom w:w="100" w:type="dxa"/>
              <w:left w:w="150" w:type="dxa"/>
              <w:right w:w="150" w:type="dxa"/>
            </w:tcMar>
          </w:tcPr>
          <w:p>
            <w:pPr>
              <w:spacing w:before="0" w:after="0"/>
              <w:jc w:val="left"/>
            </w:pPr>
            <w:r>
              <w:rPr>
                <w:rFonts w:ascii="Calibri" w:hAnsi="Calibri"/>
                <w:color w:val="2D3748"/>
                <w:sz w:val="18"/>
              </w:rPr>
              <w:t>Invariant 2: Insurer Payable &lt;= Eligible Admissible Amount</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FFFFF"/>
            <w:tcMar>
              <w:top w:w="100" w:type="dxa"/>
              <w:bottom w:w="100" w:type="dxa"/>
              <w:left w:w="150" w:type="dxa"/>
              <w:right w:w="150" w:type="dxa"/>
            </w:tcMar>
          </w:tcPr>
          <w:p>
            <w:pPr>
              <w:spacing w:before="0" w:after="0"/>
              <w:jc w:val="left"/>
            </w:pPr>
            <w:r>
              <w:rPr>
                <w:rFonts w:ascii="Calibri" w:hAnsi="Calibri"/>
                <w:color w:val="2D3748"/>
                <w:sz w:val="18"/>
              </w:rPr>
              <w:t>Invariant 3: Insurer Payable &lt;= Remaining Sum Insured</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7FAFC"/>
            <w:tcMar>
              <w:top w:w="100" w:type="dxa"/>
              <w:bottom w:w="100" w:type="dxa"/>
              <w:left w:w="150" w:type="dxa"/>
              <w:right w:w="150" w:type="dxa"/>
            </w:tcMar>
          </w:tcPr>
          <w:p>
            <w:pPr>
              <w:spacing w:before="0" w:after="0"/>
              <w:jc w:val="left"/>
            </w:pPr>
            <w:r>
              <w:rPr>
                <w:rFonts w:ascii="Calibri" w:hAnsi="Calibri"/>
                <w:color w:val="2D3748"/>
                <w:sz w:val="18"/>
              </w:rPr>
              <w:t>Invariant 4: Deductible Monotonicity (Higher Ded ==&gt; Insurer &lt;= Base)</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FFFFF"/>
            <w:tcMar>
              <w:top w:w="100" w:type="dxa"/>
              <w:bottom w:w="100" w:type="dxa"/>
              <w:left w:w="150" w:type="dxa"/>
              <w:right w:w="150" w:type="dxa"/>
            </w:tcMar>
          </w:tcPr>
          <w:p>
            <w:pPr>
              <w:spacing w:before="0" w:after="0"/>
              <w:jc w:val="left"/>
            </w:pPr>
            <w:r>
              <w:rPr>
                <w:rFonts w:ascii="Calibri" w:hAnsi="Calibri"/>
                <w:color w:val="2D3748"/>
                <w:sz w:val="18"/>
              </w:rPr>
              <w:t>Invariant 5: Co-pay Monotonicity (Higher Copay ==&gt; Insurer &lt;= Base)</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7FAFC"/>
            <w:tcMar>
              <w:top w:w="100" w:type="dxa"/>
              <w:bottom w:w="100" w:type="dxa"/>
              <w:left w:w="150" w:type="dxa"/>
              <w:right w:w="150" w:type="dxa"/>
            </w:tcMar>
          </w:tcPr>
          <w:p>
            <w:pPr>
              <w:spacing w:before="0" w:after="0"/>
              <w:jc w:val="left"/>
            </w:pPr>
            <w:r>
              <w:rPr>
                <w:rFonts w:ascii="Calibri" w:hAnsi="Calibri"/>
                <w:color w:val="2D3748"/>
                <w:sz w:val="18"/>
              </w:rPr>
              <w:t>Invariant 8: Room Ceiling Invariance (Rate &lt;= Cap ==&gt; Zero Disallowance)</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FFFFF"/>
            <w:tcMar>
              <w:top w:w="100" w:type="dxa"/>
              <w:bottom w:w="100" w:type="dxa"/>
              <w:left w:w="150" w:type="dxa"/>
              <w:right w:w="150" w:type="dxa"/>
            </w:tcMar>
          </w:tcPr>
          <w:p>
            <w:pPr>
              <w:spacing w:before="0" w:after="0"/>
              <w:jc w:val="left"/>
            </w:pPr>
            <w:r>
              <w:rPr>
                <w:rFonts w:ascii="Calibri" w:hAnsi="Calibri"/>
                <w:color w:val="2D3748"/>
                <w:sz w:val="18"/>
              </w:rPr>
              <w:t>Invariant 9: Bill Sum Conservation (Room + Proc + Doc + Med == Total Bill)</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100.00% VERIFIED</w:t>
            </w:r>
          </w:p>
        </w:tc>
      </w:tr>
      <w:tr>
        <w:tc>
          <w:tcPr>
            <w:tcW w:type="dxa" w:w="4608"/>
            <w:shd w:fill="F7FAFC"/>
            <w:tcMar>
              <w:top w:w="100" w:type="dxa"/>
              <w:bottom w:w="100" w:type="dxa"/>
              <w:left w:w="150" w:type="dxa"/>
              <w:right w:w="150" w:type="dxa"/>
            </w:tcMar>
          </w:tcPr>
          <w:p>
            <w:pPr>
              <w:spacing w:before="0" w:after="0"/>
              <w:jc w:val="left"/>
            </w:pPr>
            <w:r>
              <w:rPr>
                <w:rFonts w:ascii="Calibri" w:hAnsi="Calibri"/>
                <w:color w:val="2D3748"/>
                <w:sz w:val="18"/>
              </w:rPr>
              <w:t>Invariant 10: Zero Sum Insured ==&gt; Zero Insurer Payable</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100.00% VERIFIED</w:t>
            </w:r>
          </w:p>
        </w:tc>
      </w:tr>
    </w:tbl>
    <w:p>
      <w:pPr>
        <w:spacing w:after="120"/>
      </w:pPr>
    </w:p>
    <w:p>
      <w:pPr>
        <w:pStyle w:val="Heading1"/>
        <w:keepNext/>
        <w:spacing w:before="280" w:after="120"/>
      </w:pPr>
      <w:r>
        <w:rPr>
          <w:rFonts w:ascii="Calibri" w:hAnsi="Calibri"/>
          <w:b/>
          <w:color w:val="1A365D"/>
          <w:sz w:val="32"/>
        </w:rPr>
        <w:t>10. Metamorphic Testing</w:t>
      </w:r>
    </w:p>
    <w:p>
      <w:pPr>
        <w:spacing w:before="0" w:after="120" w:line="276" w:lineRule="auto"/>
      </w:pPr>
      <w:r>
        <w:rPr>
          <w:rFonts w:ascii="Calibri" w:hAnsi="Calibri"/>
          <w:color w:val="2D3748"/>
          <w:sz w:val="21"/>
        </w:rPr>
        <w:t>Metamorphic testing verified directional consistency across 5 mathematically implied transformations (100 trials each, 500 total runs):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spacing w:before="0" w:after="0"/>
              <w:jc w:val="center"/>
            </w:pPr>
            <w:r>
              <w:rPr>
                <w:rFonts w:ascii="Calibri" w:hAnsi="Calibri"/>
                <w:b/>
                <w:color w:val="FFFFFF"/>
                <w:sz w:val="19"/>
              </w:rPr>
              <w:t>Metamorphic Relation</w:t>
            </w:r>
          </w:p>
        </w:tc>
        <w:tc>
          <w:tcPr>
            <w:tcW w:type="dxa" w:w="2880"/>
            <w:shd w:fill="1A365D"/>
            <w:tcMar>
              <w:top w:w="120" w:type="dxa"/>
              <w:bottom w:w="120" w:type="dxa"/>
              <w:left w:w="150" w:type="dxa"/>
              <w:right w:w="150" w:type="dxa"/>
            </w:tcMar>
          </w:tcPr>
          <w:p>
            <w:pPr>
              <w:spacing w:before="0" w:after="0"/>
              <w:jc w:val="center"/>
            </w:pPr>
            <w:r>
              <w:rPr>
                <w:rFonts w:ascii="Calibri" w:hAnsi="Calibri"/>
                <w:b/>
                <w:color w:val="FFFFFF"/>
                <w:sz w:val="19"/>
              </w:rPr>
              <w:t>Transformation</w:t>
            </w:r>
          </w:p>
        </w:tc>
        <w:tc>
          <w:tcPr>
            <w:tcW w:type="dxa" w:w="2160"/>
            <w:shd w:fill="1A365D"/>
            <w:tcMar>
              <w:top w:w="120" w:type="dxa"/>
              <w:bottom w:w="120" w:type="dxa"/>
              <w:left w:w="150" w:type="dxa"/>
              <w:right w:w="150" w:type="dxa"/>
            </w:tcMar>
          </w:tcPr>
          <w:p>
            <w:pPr>
              <w:spacing w:before="0" w:after="0"/>
              <w:jc w:val="center"/>
            </w:pPr>
            <w:r>
              <w:rPr>
                <w:rFonts w:ascii="Calibri" w:hAnsi="Calibri"/>
                <w:b/>
                <w:color w:val="FFFFFF"/>
                <w:sz w:val="19"/>
              </w:rPr>
              <w:t>Expected Behavior</w:t>
            </w:r>
          </w:p>
        </w:tc>
        <w:tc>
          <w:tcPr>
            <w:tcW w:type="dxa" w:w="1728"/>
            <w:shd w:fill="1A365D"/>
            <w:tcMar>
              <w:top w:w="120" w:type="dxa"/>
              <w:bottom w:w="120" w:type="dxa"/>
              <w:left w:w="150" w:type="dxa"/>
              <w:right w:w="150" w:type="dxa"/>
            </w:tcMar>
          </w:tcPr>
          <w:p>
            <w:pPr>
              <w:spacing w:before="0" w:after="0"/>
              <w:jc w:val="center"/>
            </w:pPr>
            <w:r>
              <w:rPr>
                <w:rFonts w:ascii="Calibri" w:hAnsi="Calibri"/>
                <w:b/>
                <w:color w:val="FFFFFF"/>
                <w:sz w:val="19"/>
              </w:rPr>
              <w:t>Observed Preservation</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D3748"/>
                <w:sz w:val="18"/>
              </w:rPr>
              <w:t>MR1: Stay Duration Extension</w:t>
            </w:r>
          </w:p>
        </w:tc>
        <w:tc>
          <w:tcPr>
            <w:tcW w:type="dxa" w:w="2880"/>
            <w:shd w:fill="FFFFFF"/>
            <w:tcMar>
              <w:top w:w="100" w:type="dxa"/>
              <w:bottom w:w="100" w:type="dxa"/>
              <w:left w:w="150" w:type="dxa"/>
              <w:right w:w="150" w:type="dxa"/>
            </w:tcMar>
          </w:tcPr>
          <w:p>
            <w:pPr>
              <w:spacing w:before="0" w:after="0"/>
              <w:jc w:val="left"/>
            </w:pPr>
            <w:r>
              <w:rPr>
                <w:rFonts w:ascii="Calibri" w:hAnsi="Calibri"/>
                <w:color w:val="2D3748"/>
                <w:sz w:val="18"/>
              </w:rPr>
              <w:t>Stay increased from 4 to 6 days</w:t>
            </w:r>
          </w:p>
        </w:tc>
        <w:tc>
          <w:tcPr>
            <w:tcW w:type="dxa" w:w="2160"/>
            <w:shd w:fill="FFFFFF"/>
            <w:tcMar>
              <w:top w:w="100" w:type="dxa"/>
              <w:bottom w:w="100" w:type="dxa"/>
              <w:left w:w="150" w:type="dxa"/>
              <w:right w:w="150" w:type="dxa"/>
            </w:tcMar>
          </w:tcPr>
          <w:p>
            <w:pPr>
              <w:spacing w:before="0" w:after="0"/>
              <w:jc w:val="left"/>
            </w:pPr>
            <w:r>
              <w:rPr>
                <w:rFonts w:ascii="Calibri" w:hAnsi="Calibri"/>
                <w:color w:val="2D3748"/>
                <w:sz w:val="18"/>
              </w:rPr>
              <w:t>ML estimate non-decreasing</w:t>
            </w:r>
          </w:p>
        </w:tc>
        <w:tc>
          <w:tcPr>
            <w:tcW w:type="dxa" w:w="1728"/>
            <w:shd w:fill="FFFFFF"/>
            <w:tcMar>
              <w:top w:w="100" w:type="dxa"/>
              <w:bottom w:w="100" w:type="dxa"/>
              <w:left w:w="150" w:type="dxa"/>
              <w:right w:w="150" w:type="dxa"/>
            </w:tcMar>
          </w:tcPr>
          <w:p>
            <w:pPr>
              <w:spacing w:before="0" w:after="0"/>
              <w:jc w:val="right"/>
            </w:pPr>
            <w:r>
              <w:rPr>
                <w:rFonts w:ascii="Calibri" w:hAnsi="Calibri"/>
                <w:color w:val="2D3748"/>
                <w:sz w:val="18"/>
              </w:rPr>
              <w:t>100/100 (100.0%)</w:t>
            </w:r>
          </w:p>
        </w:tc>
      </w:tr>
      <w:tr>
        <w:tc>
          <w:tcPr>
            <w:tcW w:type="dxa" w:w="2592"/>
            <w:shd w:fill="F7FAFC"/>
            <w:tcMar>
              <w:top w:w="100" w:type="dxa"/>
              <w:bottom w:w="100" w:type="dxa"/>
              <w:left w:w="150" w:type="dxa"/>
              <w:right w:w="150" w:type="dxa"/>
            </w:tcMar>
          </w:tcPr>
          <w:p>
            <w:pPr>
              <w:spacing w:before="0" w:after="0"/>
              <w:jc w:val="left"/>
            </w:pPr>
            <w:r>
              <w:rPr>
                <w:rFonts w:ascii="Calibri" w:hAnsi="Calibri"/>
                <w:color w:val="2D3748"/>
                <w:sz w:val="18"/>
              </w:rPr>
              <w:t>MR2: Room Category Upgrade</w:t>
            </w:r>
          </w:p>
        </w:tc>
        <w:tc>
          <w:tcPr>
            <w:tcW w:type="dxa" w:w="2880"/>
            <w:shd w:fill="F7FAFC"/>
            <w:tcMar>
              <w:top w:w="100" w:type="dxa"/>
              <w:bottom w:w="100" w:type="dxa"/>
              <w:left w:w="150" w:type="dxa"/>
              <w:right w:w="150" w:type="dxa"/>
            </w:tcMar>
          </w:tcPr>
          <w:p>
            <w:pPr>
              <w:spacing w:before="0" w:after="0"/>
              <w:jc w:val="left"/>
            </w:pPr>
            <w:r>
              <w:rPr>
                <w:rFonts w:ascii="Calibri" w:hAnsi="Calibri"/>
                <w:color w:val="2D3748"/>
                <w:sz w:val="18"/>
              </w:rPr>
              <w:t>General Ward to Single Private</w:t>
            </w:r>
          </w:p>
        </w:tc>
        <w:tc>
          <w:tcPr>
            <w:tcW w:type="dxa" w:w="2160"/>
            <w:shd w:fill="F7FAFC"/>
            <w:tcMar>
              <w:top w:w="100" w:type="dxa"/>
              <w:bottom w:w="100" w:type="dxa"/>
              <w:left w:w="150" w:type="dxa"/>
              <w:right w:w="150" w:type="dxa"/>
            </w:tcMar>
          </w:tcPr>
          <w:p>
            <w:pPr>
              <w:spacing w:before="0" w:after="0"/>
              <w:jc w:val="left"/>
            </w:pPr>
            <w:r>
              <w:rPr>
                <w:rFonts w:ascii="Calibri" w:hAnsi="Calibri"/>
                <w:color w:val="2D3748"/>
                <w:sz w:val="18"/>
              </w:rPr>
              <w:t>ML estimate non-decreasing</w:t>
            </w:r>
          </w:p>
        </w:tc>
        <w:tc>
          <w:tcPr>
            <w:tcW w:type="dxa" w:w="1728"/>
            <w:shd w:fill="F7FAFC"/>
            <w:tcMar>
              <w:top w:w="100" w:type="dxa"/>
              <w:bottom w:w="100" w:type="dxa"/>
              <w:left w:w="150" w:type="dxa"/>
              <w:right w:w="150" w:type="dxa"/>
            </w:tcMar>
          </w:tcPr>
          <w:p>
            <w:pPr>
              <w:spacing w:before="0" w:after="0"/>
              <w:jc w:val="right"/>
            </w:pPr>
            <w:r>
              <w:rPr>
                <w:rFonts w:ascii="Calibri" w:hAnsi="Calibri"/>
                <w:color w:val="2D3748"/>
                <w:sz w:val="18"/>
              </w:rPr>
              <w:t>100/100 (100.0%)</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D3748"/>
                <w:sz w:val="18"/>
              </w:rPr>
              <w:t>MR3: Co-pay Increase</w:t>
            </w:r>
          </w:p>
        </w:tc>
        <w:tc>
          <w:tcPr>
            <w:tcW w:type="dxa" w:w="2880"/>
            <w:shd w:fill="FFFFFF"/>
            <w:tcMar>
              <w:top w:w="100" w:type="dxa"/>
              <w:bottom w:w="100" w:type="dxa"/>
              <w:left w:w="150" w:type="dxa"/>
              <w:right w:w="150" w:type="dxa"/>
            </w:tcMar>
          </w:tcPr>
          <w:p>
            <w:pPr>
              <w:spacing w:before="0" w:after="0"/>
              <w:jc w:val="left"/>
            </w:pPr>
            <w:r>
              <w:rPr>
                <w:rFonts w:ascii="Calibri" w:hAnsi="Calibri"/>
                <w:color w:val="2D3748"/>
                <w:sz w:val="18"/>
              </w:rPr>
              <w:t>Co-pay increased from 10% to 20%</w:t>
            </w:r>
          </w:p>
        </w:tc>
        <w:tc>
          <w:tcPr>
            <w:tcW w:type="dxa" w:w="2160"/>
            <w:shd w:fill="FFFFFF"/>
            <w:tcMar>
              <w:top w:w="100" w:type="dxa"/>
              <w:bottom w:w="100" w:type="dxa"/>
              <w:left w:w="150" w:type="dxa"/>
              <w:right w:w="150" w:type="dxa"/>
            </w:tcMar>
          </w:tcPr>
          <w:p>
            <w:pPr>
              <w:spacing w:before="0" w:after="0"/>
              <w:jc w:val="left"/>
            </w:pPr>
            <w:r>
              <w:rPr>
                <w:rFonts w:ascii="Calibri" w:hAnsi="Calibri"/>
                <w:color w:val="2D3748"/>
                <w:sz w:val="18"/>
              </w:rPr>
              <w:t>Insurer payable non-increasing</w:t>
            </w:r>
          </w:p>
        </w:tc>
        <w:tc>
          <w:tcPr>
            <w:tcW w:type="dxa" w:w="1728"/>
            <w:shd w:fill="FFFFFF"/>
            <w:tcMar>
              <w:top w:w="100" w:type="dxa"/>
              <w:bottom w:w="100" w:type="dxa"/>
              <w:left w:w="150" w:type="dxa"/>
              <w:right w:w="150" w:type="dxa"/>
            </w:tcMar>
          </w:tcPr>
          <w:p>
            <w:pPr>
              <w:spacing w:before="0" w:after="0"/>
              <w:jc w:val="right"/>
            </w:pPr>
            <w:r>
              <w:rPr>
                <w:rFonts w:ascii="Calibri" w:hAnsi="Calibri"/>
                <w:color w:val="2D3748"/>
                <w:sz w:val="18"/>
              </w:rPr>
              <w:t>100/100 (100.0%)</w:t>
            </w:r>
          </w:p>
        </w:tc>
      </w:tr>
      <w:tr>
        <w:tc>
          <w:tcPr>
            <w:tcW w:type="dxa" w:w="2592"/>
            <w:shd w:fill="F7FAFC"/>
            <w:tcMar>
              <w:top w:w="100" w:type="dxa"/>
              <w:bottom w:w="100" w:type="dxa"/>
              <w:left w:w="150" w:type="dxa"/>
              <w:right w:w="150" w:type="dxa"/>
            </w:tcMar>
          </w:tcPr>
          <w:p>
            <w:pPr>
              <w:spacing w:before="0" w:after="0"/>
              <w:jc w:val="left"/>
            </w:pPr>
            <w:r>
              <w:rPr>
                <w:rFonts w:ascii="Calibri" w:hAnsi="Calibri"/>
                <w:color w:val="2D3748"/>
                <w:sz w:val="18"/>
              </w:rPr>
              <w:t>MR4: Deductible Increase</w:t>
            </w:r>
          </w:p>
        </w:tc>
        <w:tc>
          <w:tcPr>
            <w:tcW w:type="dxa" w:w="2880"/>
            <w:shd w:fill="F7FAFC"/>
            <w:tcMar>
              <w:top w:w="100" w:type="dxa"/>
              <w:bottom w:w="100" w:type="dxa"/>
              <w:left w:w="150" w:type="dxa"/>
              <w:right w:w="150" w:type="dxa"/>
            </w:tcMar>
          </w:tcPr>
          <w:p>
            <w:pPr>
              <w:spacing w:before="0" w:after="0"/>
              <w:jc w:val="left"/>
            </w:pPr>
            <w:r>
              <w:rPr>
                <w:rFonts w:ascii="Calibri" w:hAnsi="Calibri"/>
                <w:color w:val="2D3748"/>
                <w:sz w:val="18"/>
              </w:rPr>
              <w:t>Deductible increased from INR 0 to INR 25k</w:t>
            </w:r>
          </w:p>
        </w:tc>
        <w:tc>
          <w:tcPr>
            <w:tcW w:type="dxa" w:w="2160"/>
            <w:shd w:fill="F7FAFC"/>
            <w:tcMar>
              <w:top w:w="100" w:type="dxa"/>
              <w:bottom w:w="100" w:type="dxa"/>
              <w:left w:w="150" w:type="dxa"/>
              <w:right w:w="150" w:type="dxa"/>
            </w:tcMar>
          </w:tcPr>
          <w:p>
            <w:pPr>
              <w:spacing w:before="0" w:after="0"/>
              <w:jc w:val="left"/>
            </w:pPr>
            <w:r>
              <w:rPr>
                <w:rFonts w:ascii="Calibri" w:hAnsi="Calibri"/>
                <w:color w:val="2D3748"/>
                <w:sz w:val="18"/>
              </w:rPr>
              <w:t>Insurer payable non-increasing</w:t>
            </w:r>
          </w:p>
        </w:tc>
        <w:tc>
          <w:tcPr>
            <w:tcW w:type="dxa" w:w="1728"/>
            <w:shd w:fill="F7FAFC"/>
            <w:tcMar>
              <w:top w:w="100" w:type="dxa"/>
              <w:bottom w:w="100" w:type="dxa"/>
              <w:left w:w="150" w:type="dxa"/>
              <w:right w:w="150" w:type="dxa"/>
            </w:tcMar>
          </w:tcPr>
          <w:p>
            <w:pPr>
              <w:spacing w:before="0" w:after="0"/>
              <w:jc w:val="right"/>
            </w:pPr>
            <w:r>
              <w:rPr>
                <w:rFonts w:ascii="Calibri" w:hAnsi="Calibri"/>
                <w:color w:val="2D3748"/>
                <w:sz w:val="18"/>
              </w:rPr>
              <w:t>100/100 (100.0%)</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D3748"/>
                <w:sz w:val="18"/>
              </w:rPr>
              <w:t>MR5: Sum Insured Increase</w:t>
            </w:r>
          </w:p>
        </w:tc>
        <w:tc>
          <w:tcPr>
            <w:tcW w:type="dxa" w:w="2880"/>
            <w:shd w:fill="FFFFFF"/>
            <w:tcMar>
              <w:top w:w="100" w:type="dxa"/>
              <w:bottom w:w="100" w:type="dxa"/>
              <w:left w:w="150" w:type="dxa"/>
              <w:right w:w="150" w:type="dxa"/>
            </w:tcMar>
          </w:tcPr>
          <w:p>
            <w:pPr>
              <w:spacing w:before="0" w:after="0"/>
              <w:jc w:val="left"/>
            </w:pPr>
            <w:r>
              <w:rPr>
                <w:rFonts w:ascii="Calibri" w:hAnsi="Calibri"/>
                <w:color w:val="2D3748"/>
                <w:sz w:val="18"/>
              </w:rPr>
              <w:t>Sum Insured increased from INR 2L to INR 5L</w:t>
            </w:r>
          </w:p>
        </w:tc>
        <w:tc>
          <w:tcPr>
            <w:tcW w:type="dxa" w:w="2160"/>
            <w:shd w:fill="FFFFFF"/>
            <w:tcMar>
              <w:top w:w="100" w:type="dxa"/>
              <w:bottom w:w="100" w:type="dxa"/>
              <w:left w:w="150" w:type="dxa"/>
              <w:right w:w="150" w:type="dxa"/>
            </w:tcMar>
          </w:tcPr>
          <w:p>
            <w:pPr>
              <w:spacing w:before="0" w:after="0"/>
              <w:jc w:val="left"/>
            </w:pPr>
            <w:r>
              <w:rPr>
                <w:rFonts w:ascii="Calibri" w:hAnsi="Calibri"/>
                <w:color w:val="2D3748"/>
                <w:sz w:val="18"/>
              </w:rPr>
              <w:t>Insurer payable non-decreasing</w:t>
            </w:r>
          </w:p>
        </w:tc>
        <w:tc>
          <w:tcPr>
            <w:tcW w:type="dxa" w:w="1728"/>
            <w:shd w:fill="FFFFFF"/>
            <w:tcMar>
              <w:top w:w="100" w:type="dxa"/>
              <w:bottom w:w="100" w:type="dxa"/>
              <w:left w:w="150" w:type="dxa"/>
              <w:right w:w="150" w:type="dxa"/>
            </w:tcMar>
          </w:tcPr>
          <w:p>
            <w:pPr>
              <w:spacing w:before="0" w:after="0"/>
              <w:jc w:val="right"/>
            </w:pPr>
            <w:r>
              <w:rPr>
                <w:rFonts w:ascii="Calibri" w:hAnsi="Calibri"/>
                <w:color w:val="2D3748"/>
                <w:sz w:val="18"/>
              </w:rPr>
              <w:t>100/100 (100.0%)</w:t>
            </w:r>
          </w:p>
        </w:tc>
      </w:tr>
    </w:tbl>
    <w:p>
      <w:pPr>
        <w:spacing w:after="120"/>
      </w:pPr>
    </w:p>
    <w:p>
      <w:pPr>
        <w:pStyle w:val="Heading1"/>
        <w:keepNext/>
        <w:spacing w:before="280" w:after="120"/>
      </w:pPr>
      <w:r>
        <w:rPr>
          <w:rFonts w:ascii="Calibri" w:hAnsi="Calibri"/>
          <w:b/>
          <w:color w:val="1A365D"/>
          <w:sz w:val="32"/>
        </w:rPr>
        <w:t>11. End-to-End Testing</w:t>
      </w:r>
    </w:p>
    <w:p>
      <w:pPr>
        <w:spacing w:before="0" w:after="120" w:line="276" w:lineRule="auto"/>
      </w:pPr>
      <w:r>
        <w:rPr>
          <w:rFonts w:ascii="Calibri" w:hAnsi="Calibri"/>
          <w:color w:val="2D3748"/>
          <w:sz w:val="21"/>
        </w:rPr>
        <w:t>The multi-stage pipeline was evaluated across 100 diverse scenarios combining hospital discovery, policy extraction, ML cost estimation, and detailed bill breakdown adjudication.</w:t>
      </w:r>
    </w:p>
    <w:p>
      <w:pPr>
        <w:spacing w:before="0" w:after="120" w:line="276" w:lineRule="auto"/>
      </w:pPr>
      <w:r>
        <w:rPr>
          <w:rFonts w:ascii="Calibri" w:hAnsi="Calibri"/>
          <w:color w:val="2D3748"/>
          <w:sz w:val="21"/>
        </w:rPr>
        <w:t>Disaggregation of Outcomes: 100/100 scenarios correctly handled: 70 completed adjudication + 30 correct safety refusals (Correct handling rate: 100%).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024"/>
            <w:shd w:fill="1A365D"/>
            <w:tcMar>
              <w:top w:w="120" w:type="dxa"/>
              <w:bottom w:w="120" w:type="dxa"/>
              <w:left w:w="150" w:type="dxa"/>
              <w:right w:w="150" w:type="dxa"/>
            </w:tcMar>
          </w:tcPr>
          <w:p>
            <w:pPr>
              <w:spacing w:before="0" w:after="0"/>
              <w:jc w:val="center"/>
            </w:pPr>
            <w:r>
              <w:rPr>
                <w:rFonts w:ascii="Calibri" w:hAnsi="Calibri"/>
                <w:b/>
                <w:color w:val="FFFFFF"/>
                <w:sz w:val="19"/>
              </w:rPr>
              <w:t>Scenario Classification</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Scenarios Tested (N)</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Correctly Handled</w:t>
            </w:r>
          </w:p>
        </w:tc>
        <w:tc>
          <w:tcPr>
            <w:tcW w:type="dxa" w:w="1296"/>
            <w:shd w:fill="1A365D"/>
            <w:tcMar>
              <w:top w:w="120" w:type="dxa"/>
              <w:bottom w:w="120" w:type="dxa"/>
              <w:left w:w="150" w:type="dxa"/>
              <w:right w:w="150" w:type="dxa"/>
            </w:tcMar>
          </w:tcPr>
          <w:p>
            <w:pPr>
              <w:spacing w:before="0" w:after="0"/>
              <w:jc w:val="center"/>
            </w:pPr>
            <w:r>
              <w:rPr>
                <w:rFonts w:ascii="Calibri" w:hAnsi="Calibri"/>
                <w:b/>
                <w:color w:val="FFFFFF"/>
                <w:sz w:val="19"/>
              </w:rPr>
              <w:t>Rate</w:t>
            </w:r>
          </w:p>
        </w:tc>
        <w:tc>
          <w:tcPr>
            <w:tcW w:type="dxa" w:w="1872"/>
            <w:shd w:fill="1A365D"/>
            <w:tcMar>
              <w:top w:w="120" w:type="dxa"/>
              <w:bottom w:w="120" w:type="dxa"/>
              <w:left w:w="150" w:type="dxa"/>
              <w:right w:w="150" w:type="dxa"/>
            </w:tcMar>
          </w:tcPr>
          <w:p>
            <w:pPr>
              <w:spacing w:before="0" w:after="0"/>
              <w:jc w:val="center"/>
            </w:pPr>
            <w:r>
              <w:rPr>
                <w:rFonts w:ascii="Calibri" w:hAnsi="Calibri"/>
                <w:b/>
                <w:color w:val="FFFFFF"/>
                <w:sz w:val="19"/>
              </w:rPr>
              <w:t>Operational Interpretation</w:t>
            </w:r>
          </w:p>
        </w:tc>
      </w:tr>
      <w:tr>
        <w:tc>
          <w:tcPr>
            <w:tcW w:type="dxa" w:w="3024"/>
            <w:shd w:fill="FFFFFF"/>
            <w:tcMar>
              <w:top w:w="100" w:type="dxa"/>
              <w:bottom w:w="100" w:type="dxa"/>
              <w:left w:w="150" w:type="dxa"/>
              <w:right w:w="150" w:type="dxa"/>
            </w:tcMar>
          </w:tcPr>
          <w:p>
            <w:pPr>
              <w:spacing w:before="0" w:after="0"/>
              <w:jc w:val="left"/>
            </w:pPr>
            <w:r>
              <w:rPr>
                <w:rFonts w:ascii="Calibri" w:hAnsi="Calibri"/>
                <w:color w:val="2D3748"/>
                <w:sz w:val="18"/>
              </w:rPr>
              <w:t>In-Domain Clinical Adjudications</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70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70</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872"/>
            <w:shd w:fill="FFFFFF"/>
            <w:tcMar>
              <w:top w:w="100" w:type="dxa"/>
              <w:bottom w:w="100" w:type="dxa"/>
              <w:left w:w="150" w:type="dxa"/>
              <w:right w:w="150" w:type="dxa"/>
            </w:tcMar>
          </w:tcPr>
          <w:p>
            <w:pPr>
              <w:spacing w:before="0" w:after="0"/>
              <w:jc w:val="left"/>
            </w:pPr>
            <w:r>
              <w:rPr>
                <w:rFonts w:ascii="Calibri" w:hAnsi="Calibri"/>
                <w:color w:val="2D3748"/>
                <w:sz w:val="18"/>
              </w:rPr>
              <w:t>Completed full financial adjudication.</w:t>
            </w:r>
          </w:p>
        </w:tc>
      </w:tr>
      <w:tr>
        <w:tc>
          <w:tcPr>
            <w:tcW w:type="dxa" w:w="3024"/>
            <w:shd w:fill="F7FAFC"/>
            <w:tcMar>
              <w:top w:w="100" w:type="dxa"/>
              <w:bottom w:w="100" w:type="dxa"/>
              <w:left w:w="150" w:type="dxa"/>
              <w:right w:w="150" w:type="dxa"/>
            </w:tcMar>
          </w:tcPr>
          <w:p>
            <w:pPr>
              <w:spacing w:before="0" w:after="0"/>
              <w:jc w:val="left"/>
            </w:pPr>
            <w:r>
              <w:rPr>
                <w:rFonts w:ascii="Calibri" w:hAnsi="Calibri"/>
                <w:color w:val="2D3748"/>
                <w:sz w:val="18"/>
              </w:rPr>
              <w:t>Out-of-Domain Safety Refusals</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30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30</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872"/>
            <w:shd w:fill="F7FAFC"/>
            <w:tcMar>
              <w:top w:w="100" w:type="dxa"/>
              <w:bottom w:w="100" w:type="dxa"/>
              <w:left w:w="150" w:type="dxa"/>
              <w:right w:w="150" w:type="dxa"/>
            </w:tcMar>
          </w:tcPr>
          <w:p>
            <w:pPr>
              <w:spacing w:before="0" w:after="0"/>
              <w:jc w:val="left"/>
            </w:pPr>
            <w:r>
              <w:rPr>
                <w:rFonts w:ascii="Calibri" w:hAnsi="Calibri"/>
                <w:color w:val="2D3748"/>
                <w:sz w:val="18"/>
              </w:rPr>
              <w:t>Correct intentional safety refusal.</w:t>
            </w:r>
          </w:p>
        </w:tc>
      </w:tr>
      <w:tr>
        <w:tc>
          <w:tcPr>
            <w:tcW w:type="dxa" w:w="3024"/>
            <w:shd w:fill="FFFFFF"/>
            <w:tcMar>
              <w:top w:w="100" w:type="dxa"/>
              <w:bottom w:w="100" w:type="dxa"/>
              <w:left w:w="150" w:type="dxa"/>
              <w:right w:w="150" w:type="dxa"/>
            </w:tcMar>
          </w:tcPr>
          <w:p>
            <w:pPr>
              <w:spacing w:before="0" w:after="0"/>
              <w:jc w:val="left"/>
            </w:pPr>
            <w:r>
              <w:rPr>
                <w:rFonts w:ascii="Calibri" w:hAnsi="Calibri"/>
                <w:color w:val="2D3748"/>
                <w:sz w:val="18"/>
              </w:rPr>
              <w:t>Genuine Implementation Failures</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100</w:t>
            </w:r>
          </w:p>
        </w:tc>
        <w:tc>
          <w:tcPr>
            <w:tcW w:type="dxa" w:w="1584"/>
            <w:shd w:fill="FFFFFF"/>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296"/>
            <w:shd w:fill="FFFFFF"/>
            <w:tcMar>
              <w:top w:w="100" w:type="dxa"/>
              <w:bottom w:w="100" w:type="dxa"/>
              <w:left w:w="150" w:type="dxa"/>
              <w:right w:w="150" w:type="dxa"/>
            </w:tcMar>
          </w:tcPr>
          <w:p>
            <w:pPr>
              <w:spacing w:before="0" w:after="0"/>
              <w:jc w:val="right"/>
            </w:pPr>
            <w:r>
              <w:rPr>
                <w:rFonts w:ascii="Calibri" w:hAnsi="Calibri"/>
                <w:color w:val="2D3748"/>
                <w:sz w:val="18"/>
              </w:rPr>
              <w:t>0.0%</w:t>
            </w:r>
          </w:p>
        </w:tc>
        <w:tc>
          <w:tcPr>
            <w:tcW w:type="dxa" w:w="1872"/>
            <w:shd w:fill="FFFFFF"/>
            <w:tcMar>
              <w:top w:w="100" w:type="dxa"/>
              <w:bottom w:w="100" w:type="dxa"/>
              <w:left w:w="150" w:type="dxa"/>
              <w:right w:w="150" w:type="dxa"/>
            </w:tcMar>
          </w:tcPr>
          <w:p>
            <w:pPr>
              <w:spacing w:before="0" w:after="0"/>
              <w:jc w:val="left"/>
            </w:pPr>
            <w:r>
              <w:rPr>
                <w:rFonts w:ascii="Calibri" w:hAnsi="Calibri"/>
                <w:color w:val="2D3748"/>
                <w:sz w:val="18"/>
              </w:rPr>
              <w:t>Zero unhandled pipeline crashes.</w:t>
            </w:r>
          </w:p>
        </w:tc>
      </w:tr>
      <w:tr>
        <w:tc>
          <w:tcPr>
            <w:tcW w:type="dxa" w:w="3024"/>
            <w:shd w:fill="F7FAFC"/>
            <w:tcMar>
              <w:top w:w="100" w:type="dxa"/>
              <w:bottom w:w="100" w:type="dxa"/>
              <w:left w:w="150" w:type="dxa"/>
              <w:right w:w="150" w:type="dxa"/>
            </w:tcMar>
          </w:tcPr>
          <w:p>
            <w:pPr>
              <w:spacing w:before="0" w:after="0"/>
              <w:jc w:val="left"/>
            </w:pPr>
            <w:r>
              <w:rPr>
                <w:rFonts w:ascii="Calibri" w:hAnsi="Calibri"/>
                <w:color w:val="2D3748"/>
                <w:sz w:val="18"/>
              </w:rPr>
              <w:t>Total Pipeline Correct Handling</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w:t>
            </w:r>
          </w:p>
        </w:tc>
        <w:tc>
          <w:tcPr>
            <w:tcW w:type="dxa" w:w="1584"/>
            <w:shd w:fill="F7FAFC"/>
            <w:tcMar>
              <w:top w:w="100" w:type="dxa"/>
              <w:bottom w:w="100" w:type="dxa"/>
              <w:left w:w="150" w:type="dxa"/>
              <w:right w:w="150" w:type="dxa"/>
            </w:tcMar>
          </w:tcPr>
          <w:p>
            <w:pPr>
              <w:spacing w:before="0" w:after="0"/>
              <w:jc w:val="right"/>
            </w:pPr>
            <w:r>
              <w:rPr>
                <w:rFonts w:ascii="Calibri" w:hAnsi="Calibri"/>
                <w:color w:val="2D3748"/>
                <w:sz w:val="18"/>
              </w:rPr>
              <w:t>100</w:t>
            </w:r>
          </w:p>
        </w:tc>
        <w:tc>
          <w:tcPr>
            <w:tcW w:type="dxa" w:w="1296"/>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872"/>
            <w:shd w:fill="F7FAFC"/>
            <w:tcMar>
              <w:top w:w="100" w:type="dxa"/>
              <w:bottom w:w="100" w:type="dxa"/>
              <w:left w:w="150" w:type="dxa"/>
              <w:right w:w="150" w:type="dxa"/>
            </w:tcMar>
          </w:tcPr>
          <w:p>
            <w:pPr>
              <w:spacing w:before="0" w:after="0"/>
              <w:jc w:val="left"/>
            </w:pPr>
            <w:r>
              <w:rPr>
                <w:rFonts w:ascii="Calibri" w:hAnsi="Calibri"/>
                <w:color w:val="2D3748"/>
                <w:sz w:val="18"/>
              </w:rPr>
              <w:t>100/100 scenarios correctly handled (70 completed + 30 refused).</w:t>
            </w:r>
          </w:p>
        </w:tc>
      </w:tr>
    </w:tbl>
    <w:p>
      <w:pPr>
        <w:spacing w:after="120"/>
      </w:pPr>
    </w:p>
    <w:p>
      <w:pPr>
        <w:spacing w:before="0" w:after="120" w:line="276" w:lineRule="auto"/>
      </w:pPr>
      <w:r>
        <w:rPr>
          <w:rFonts w:ascii="Calibri" w:hAnsi="Calibri"/>
          <w:color w:val="2D3748"/>
          <w:sz w:val="21"/>
        </w:rPr>
        <w:t>Evaluator Correction: The initial run included 'EEG' in out-of-domain test cases, but EEG is actually a valid procedure in `pvt_costs.csv`. Replacing EEG with 'Bariatric Gastric Bypass' confirmed that the system achieves 100% correct intentional safety refusal on genuinely unmapped procedures.</w:t>
      </w:r>
    </w:p>
    <w:p>
      <w:pPr>
        <w:pStyle w:val="Heading1"/>
        <w:keepNext/>
        <w:spacing w:before="280" w:after="120"/>
      </w:pPr>
      <w:r>
        <w:rPr>
          <w:rFonts w:ascii="Calibri" w:hAnsi="Calibri"/>
          <w:b/>
          <w:color w:val="1A365D"/>
          <w:sz w:val="32"/>
        </w:rPr>
        <w:t>12. Adversarial Testing</w:t>
      </w:r>
    </w:p>
    <w:p>
      <w:pPr>
        <w:spacing w:before="0" w:after="120" w:line="276" w:lineRule="auto"/>
      </w:pPr>
      <w:r>
        <w:rPr>
          <w:rFonts w:ascii="Calibri" w:hAnsi="Calibri"/>
          <w:color w:val="2D3748"/>
          <w:sz w:val="21"/>
        </w:rPr>
        <w:t>50 adversarial test cases audited platform robustness against prompt injections, extreme numeric limits (INR 10 Crore bills, negative numbers), corrupted policies, zero Sum Insured, and out-of-network facilities.</w:t>
      </w:r>
    </w:p>
    <w:p>
      <w:pPr>
        <w:spacing w:before="0" w:after="120" w:line="276" w:lineRule="auto"/>
      </w:pPr>
      <w:r>
        <w:rPr>
          <w:rFonts w:ascii="Calibri" w:hAnsi="Calibri"/>
          <w:color w:val="2D3748"/>
          <w:sz w:val="21"/>
        </w:rPr>
        <w:t>• 100% safe handling across 50 evaluated adversarial cases (50/50 safely handled).</w:t>
      </w:r>
    </w:p>
    <w:p>
      <w:pPr>
        <w:spacing w:before="0" w:after="120" w:line="276" w:lineRule="auto"/>
      </w:pPr>
      <w:r>
        <w:rPr>
          <w:rFonts w:ascii="Calibri" w:hAnsi="Calibri"/>
          <w:color w:val="2D3748"/>
          <w:sz w:val="21"/>
        </w:rPr>
        <w:t>• Zero Hallucination: Adversarial prompts attempting to bypass policy waiting periods or claim cosmetic dentistry were safely refused without leaking affirmative benefit text.</w:t>
      </w:r>
    </w:p>
    <w:p>
      <w:pPr>
        <w:pStyle w:val="Heading1"/>
        <w:keepNext/>
        <w:spacing w:before="280" w:after="120"/>
      </w:pPr>
      <w:r>
        <w:rPr>
          <w:rFonts w:ascii="Calibri" w:hAnsi="Calibri"/>
          <w:b/>
          <w:color w:val="1A365D"/>
          <w:sz w:val="32"/>
        </w:rPr>
        <w:t>13. Regression Testing</w:t>
      </w:r>
    </w:p>
    <w:p>
      <w:pPr>
        <w:spacing w:before="0" w:after="120" w:line="276" w:lineRule="auto"/>
      </w:pPr>
      <w:r>
        <w:rPr>
          <w:rFonts w:ascii="Calibri" w:hAnsi="Calibri"/>
          <w:color w:val="2D3748"/>
          <w:sz w:val="21"/>
        </w:rPr>
        <w:t>The complete existing product test suite was executed before and after hardening to guarantee zero regressions:</w:t>
      </w:r>
    </w:p>
    <w:p>
      <w:pPr>
        <w:spacing w:before="0" w:after="120" w:line="276" w:lineRule="auto"/>
      </w:pPr>
      <w:r>
        <w:rPr>
          <w:rFonts w:ascii="Calibri" w:hAnsi="Calibri"/>
          <w:color w:val="2D3748"/>
          <w:sz w:val="21"/>
        </w:rPr>
        <w:t>• Test Runner: Vitest v3.2.7</w:t>
      </w:r>
    </w:p>
    <w:p>
      <w:pPr>
        <w:spacing w:before="0" w:after="120" w:line="276" w:lineRule="auto"/>
      </w:pPr>
      <w:r>
        <w:rPr>
          <w:rFonts w:ascii="Calibri" w:hAnsi="Calibri"/>
          <w:color w:val="2D3748"/>
          <w:sz w:val="21"/>
        </w:rPr>
        <w:t>• Total Test Suites Passed: 16/16 (100.00%)</w:t>
      </w:r>
    </w:p>
    <w:p>
      <w:pPr>
        <w:spacing w:before="0" w:after="120" w:line="276" w:lineRule="auto"/>
      </w:pPr>
      <w:r>
        <w:rPr>
          <w:rFonts w:ascii="Calibri" w:hAnsi="Calibri"/>
          <w:color w:val="2D3748"/>
          <w:sz w:val="21"/>
        </w:rPr>
        <w:t>• Total Unit &amp; Integration Tests Passed: 229/229 (100.00%)</w:t>
      </w:r>
    </w:p>
    <w:p>
      <w:pPr>
        <w:spacing w:before="0" w:after="120" w:line="276" w:lineRule="auto"/>
      </w:pPr>
      <w:r>
        <w:rPr>
          <w:rFonts w:ascii="Calibri" w:hAnsi="Calibri"/>
          <w:color w:val="2D3748"/>
          <w:sz w:val="21"/>
        </w:rPr>
        <w:t>• Regressions Introduced: 0 (Zero regressions across hospital ranking, network matching, cost intelligence, policy chat, and API routes).</w:t>
      </w:r>
    </w:p>
    <w:p>
      <w:pPr>
        <w:pStyle w:val="Heading1"/>
        <w:keepNext/>
        <w:spacing w:before="280" w:after="120"/>
      </w:pPr>
      <w:r>
        <w:rPr>
          <w:rFonts w:ascii="Calibri" w:hAnsi="Calibri"/>
          <w:b/>
          <w:color w:val="1A365D"/>
          <w:sz w:val="32"/>
        </w:rPr>
        <w:t>14. Error Analysis</w:t>
      </w:r>
    </w:p>
    <w:p>
      <w:pPr>
        <w:spacing w:before="0" w:after="120" w:line="276" w:lineRule="auto"/>
      </w:pPr>
      <w:r>
        <w:rPr>
          <w:rFonts w:ascii="Calibri" w:hAnsi="Calibri"/>
          <w:color w:val="2D3748"/>
          <w:sz w:val="21"/>
        </w:rPr>
        <w:t>A rigorous audit requires transparent disclosure of all observed error modes and boundary conditions:</w:t>
      </w:r>
    </w:p>
    <w:p>
      <w:pPr>
        <w:spacing w:before="0" w:after="120" w:line="276" w:lineRule="auto"/>
      </w:pPr>
      <w:r>
        <w:rPr>
          <w:rFonts w:ascii="Calibri" w:hAnsi="Calibri"/>
          <w:color w:val="2D3748"/>
          <w:sz w:val="21"/>
        </w:rPr>
        <w:t>1. Procedure Generalization Bound: Tabular regression cannot infer surgical pricing for procedures outside the 23 supported clinical categories (R2 = -0.6839). The system correctly handles this by returning status: 'insufficient_data' rather than extrapolating.</w:t>
      </w:r>
    </w:p>
    <w:p>
      <w:pPr>
        <w:spacing w:before="0" w:after="120" w:line="276" w:lineRule="auto"/>
      </w:pPr>
      <w:r>
        <w:rPr>
          <w:rFonts w:ascii="Calibri" w:hAnsi="Calibri"/>
          <w:color w:val="2D3748"/>
          <w:sz w:val="21"/>
        </w:rPr>
        <w:t>2. LLM Third-Party Quota Sensitivity: In high-frequency batch testing without throttling, external Gemini endpoints can return HTTP 429 quota errors. Production architecture gracefully falls back to deterministic rule grounding.</w:t>
      </w:r>
    </w:p>
    <w:p>
      <w:pPr>
        <w:spacing w:before="0" w:after="120" w:line="276" w:lineRule="auto"/>
      </w:pPr>
      <w:r>
        <w:rPr>
          <w:rFonts w:ascii="Calibri" w:hAnsi="Calibri"/>
          <w:color w:val="2D3748"/>
          <w:sz w:val="21"/>
        </w:rPr>
        <w:t>3. OCR Quality Floor: Extraction on cleanly structured PDF schedules is 100%, but heavily degraded photocopies or handwritten endorsements remain an empirical boundary requiring human-in-the-loop validation.</w:t>
      </w:r>
    </w:p>
    <w:p>
      <w:pPr>
        <w:pStyle w:val="Heading1"/>
        <w:keepNext/>
        <w:spacing w:before="280" w:after="120"/>
      </w:pPr>
      <w:r>
        <w:rPr>
          <w:rFonts w:ascii="Calibri" w:hAnsi="Calibri"/>
          <w:b/>
          <w:color w:val="1A365D"/>
          <w:sz w:val="32"/>
        </w:rPr>
        <w:t>15. Remaining Limitations</w:t>
      </w:r>
    </w:p>
    <w:p>
      <w:pPr>
        <w:spacing w:before="0" w:after="120" w:line="276" w:lineRule="auto"/>
      </w:pPr>
      <w:r>
        <w:rPr>
          <w:rFonts w:ascii="Calibri" w:hAnsi="Calibri"/>
          <w:color w:val="2D3748"/>
          <w:sz w:val="21"/>
        </w:rPr>
        <w:t>1. Synthetic Validation Scope: Financial scenarios are generated via rigorous seeded permutation; they reflect all legal clauses but are not de-identified real hospital claim files.</w:t>
      </w:r>
    </w:p>
    <w:p>
      <w:pPr>
        <w:spacing w:before="0" w:after="120" w:line="276" w:lineRule="auto"/>
      </w:pPr>
      <w:r>
        <w:rPr>
          <w:rFonts w:ascii="Calibri" w:hAnsi="Calibri"/>
          <w:color w:val="2D3748"/>
          <w:sz w:val="21"/>
        </w:rPr>
        <w:t>2. Geographic Tier Granularity: Private hospital tariffs are stratified across 8 broad urban tiers. Sub-regional hospital price variations within a tier may deviate from typical medians.</w:t>
      </w:r>
    </w:p>
    <w:p>
      <w:pPr>
        <w:spacing w:before="0" w:after="120" w:line="276" w:lineRule="auto"/>
      </w:pPr>
      <w:r>
        <w:rPr>
          <w:rFonts w:ascii="Calibri" w:hAnsi="Calibri"/>
          <w:color w:val="2D3748"/>
          <w:sz w:val="21"/>
        </w:rPr>
        <w:t>3. Informational Boundary: SehatSure provides navigational and pre-admission financial intelligence; it is not a licensed Third Party Administrator (TPA) and does not issue legally binding insurer pre-authorizations.</w:t>
      </w:r>
    </w:p>
    <w:p>
      <w:pPr>
        <w:pStyle w:val="Heading1"/>
        <w:keepNext/>
        <w:spacing w:before="280" w:after="120"/>
      </w:pPr>
      <w:r>
        <w:rPr>
          <w:rFonts w:ascii="Calibri" w:hAnsi="Calibri"/>
          <w:b/>
          <w:color w:val="1A365D"/>
          <w:sz w:val="32"/>
        </w:rPr>
        <w:t>16. Statistical Confidence Analysis</w:t>
      </w:r>
    </w:p>
    <w:p>
      <w:pPr>
        <w:spacing w:before="0" w:after="120" w:line="276" w:lineRule="auto"/>
      </w:pPr>
      <w:r>
        <w:rPr>
          <w:rFonts w:ascii="Calibri" w:hAnsi="Calibri"/>
          <w:color w:val="2D3748"/>
          <w:sz w:val="21"/>
        </w:rPr>
        <w:t>To avoid conflating sample success rates with population certainties, 95% Wilson Score Confidence Intervals were computed for all audited capabilities: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A365D"/>
            <w:tcMar>
              <w:top w:w="120" w:type="dxa"/>
              <w:bottom w:w="120" w:type="dxa"/>
              <w:left w:w="150" w:type="dxa"/>
              <w:right w:w="150" w:type="dxa"/>
            </w:tcMar>
          </w:tcPr>
          <w:p>
            <w:pPr>
              <w:spacing w:before="0" w:after="0"/>
              <w:jc w:val="center"/>
            </w:pPr>
            <w:r>
              <w:rPr>
                <w:rFonts w:ascii="Calibri" w:hAnsi="Calibri"/>
                <w:b/>
                <w:color w:val="FFFFFF"/>
                <w:sz w:val="19"/>
              </w:rPr>
              <w:t>Evaluated Capability</w:t>
            </w:r>
          </w:p>
        </w:tc>
        <w:tc>
          <w:tcPr>
            <w:tcW w:type="dxa" w:w="1440"/>
            <w:shd w:fill="1A365D"/>
            <w:tcMar>
              <w:top w:w="120" w:type="dxa"/>
              <w:bottom w:w="120" w:type="dxa"/>
              <w:left w:w="150" w:type="dxa"/>
              <w:right w:w="150" w:type="dxa"/>
            </w:tcMar>
          </w:tcPr>
          <w:p>
            <w:pPr>
              <w:spacing w:before="0" w:after="0"/>
              <w:jc w:val="center"/>
            </w:pPr>
            <w:r>
              <w:rPr>
                <w:rFonts w:ascii="Calibri" w:hAnsi="Calibri"/>
                <w:b/>
                <w:color w:val="FFFFFF"/>
                <w:sz w:val="19"/>
              </w:rPr>
              <w:t>Sample (N)</w:t>
            </w:r>
          </w:p>
        </w:tc>
        <w:tc>
          <w:tcPr>
            <w:tcW w:type="dxa" w:w="1872"/>
            <w:shd w:fill="1A365D"/>
            <w:tcMar>
              <w:top w:w="120" w:type="dxa"/>
              <w:bottom w:w="120" w:type="dxa"/>
              <w:left w:w="150" w:type="dxa"/>
              <w:right w:w="150" w:type="dxa"/>
            </w:tcMar>
          </w:tcPr>
          <w:p>
            <w:pPr>
              <w:spacing w:before="0" w:after="0"/>
              <w:jc w:val="center"/>
            </w:pPr>
            <w:r>
              <w:rPr>
                <w:rFonts w:ascii="Calibri" w:hAnsi="Calibri"/>
                <w:b/>
                <w:color w:val="FFFFFF"/>
                <w:sz w:val="19"/>
              </w:rPr>
              <w:t>Observed Pass Rate</w:t>
            </w:r>
          </w:p>
        </w:tc>
        <w:tc>
          <w:tcPr>
            <w:tcW w:type="dxa" w:w="2880"/>
            <w:shd w:fill="1A365D"/>
            <w:tcMar>
              <w:top w:w="120" w:type="dxa"/>
              <w:bottom w:w="120" w:type="dxa"/>
              <w:left w:w="150" w:type="dxa"/>
              <w:right w:w="150" w:type="dxa"/>
            </w:tcMar>
          </w:tcPr>
          <w:p>
            <w:pPr>
              <w:spacing w:before="0" w:after="0"/>
              <w:jc w:val="center"/>
            </w:pPr>
            <w:r>
              <w:rPr>
                <w:rFonts w:ascii="Calibri" w:hAnsi="Calibri"/>
                <w:b/>
                <w:color w:val="FFFFFF"/>
                <w:sz w:val="19"/>
              </w:rPr>
              <w:t>95% Wilson Confidence Interval</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Financial Engine Exact Match</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FFFFF"/>
            <w:tcMar>
              <w:top w:w="100" w:type="dxa"/>
              <w:bottom w:w="100" w:type="dxa"/>
              <w:left w:w="150" w:type="dxa"/>
              <w:right w:w="150" w:type="dxa"/>
            </w:tcMar>
          </w:tcPr>
          <w:p>
            <w:pPr>
              <w:spacing w:before="0" w:after="0"/>
              <w:jc w:val="right"/>
            </w:pPr>
            <w:r>
              <w:rPr>
                <w:rFonts w:ascii="Calibri" w:hAnsi="Calibri"/>
                <w:color w:val="2D3748"/>
                <w:sz w:val="18"/>
              </w:rPr>
              <w:t>[99.81%, 100.00%]</w:t>
            </w:r>
          </w:p>
        </w:tc>
      </w:tr>
      <w:tr>
        <w:tc>
          <w:tcPr>
            <w:tcW w:type="dxa" w:w="3168"/>
            <w:shd w:fill="F7FAFC"/>
            <w:tcMar>
              <w:top w:w="100" w:type="dxa"/>
              <w:bottom w:w="100" w:type="dxa"/>
              <w:left w:w="150" w:type="dxa"/>
              <w:right w:w="150" w:type="dxa"/>
            </w:tcMar>
          </w:tcPr>
          <w:p>
            <w:pPr>
              <w:spacing w:before="0" w:after="0"/>
              <w:jc w:val="left"/>
            </w:pPr>
            <w:r>
              <w:rPr>
                <w:rFonts w:ascii="Calibri" w:hAnsi="Calibri"/>
                <w:color w:val="2D3748"/>
                <w:sz w:val="18"/>
              </w:rPr>
              <w:t>Adjudication Invariants</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1872"/>
            <w:shd w:fill="F7FAFC"/>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7FAFC"/>
            <w:tcMar>
              <w:top w:w="100" w:type="dxa"/>
              <w:bottom w:w="100" w:type="dxa"/>
              <w:left w:w="150" w:type="dxa"/>
              <w:right w:w="150" w:type="dxa"/>
            </w:tcMar>
          </w:tcPr>
          <w:p>
            <w:pPr>
              <w:spacing w:before="0" w:after="0"/>
              <w:jc w:val="right"/>
            </w:pPr>
            <w:r>
              <w:rPr>
                <w:rFonts w:ascii="Calibri" w:hAnsi="Calibri"/>
                <w:color w:val="2D3748"/>
                <w:sz w:val="18"/>
              </w:rPr>
              <w:t>[99.62%, 100.00%]</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Metamorphic Relations</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500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FFFFF"/>
            <w:tcMar>
              <w:top w:w="100" w:type="dxa"/>
              <w:bottom w:w="100" w:type="dxa"/>
              <w:left w:w="150" w:type="dxa"/>
              <w:right w:w="150" w:type="dxa"/>
            </w:tcMar>
          </w:tcPr>
          <w:p>
            <w:pPr>
              <w:spacing w:before="0" w:after="0"/>
              <w:jc w:val="right"/>
            </w:pPr>
            <w:r>
              <w:rPr>
                <w:rFonts w:ascii="Calibri" w:hAnsi="Calibri"/>
                <w:color w:val="2D3748"/>
                <w:sz w:val="18"/>
              </w:rPr>
              <w:t>[99.24%, 100.00%]</w:t>
            </w:r>
          </w:p>
        </w:tc>
      </w:tr>
      <w:tr>
        <w:tc>
          <w:tcPr>
            <w:tcW w:type="dxa" w:w="3168"/>
            <w:shd w:fill="F7FAFC"/>
            <w:tcMar>
              <w:top w:w="100" w:type="dxa"/>
              <w:bottom w:w="100" w:type="dxa"/>
              <w:left w:w="150" w:type="dxa"/>
              <w:right w:w="150" w:type="dxa"/>
            </w:tcMar>
          </w:tcPr>
          <w:p>
            <w:pPr>
              <w:spacing w:before="0" w:after="0"/>
              <w:jc w:val="left"/>
            </w:pPr>
            <w:r>
              <w:rPr>
                <w:rFonts w:ascii="Calibri" w:hAnsi="Calibri"/>
                <w:color w:val="2D3748"/>
                <w:sz w:val="18"/>
              </w:rPr>
              <w:t>End-to-End Pipeline Safety</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100</w:t>
            </w:r>
          </w:p>
        </w:tc>
        <w:tc>
          <w:tcPr>
            <w:tcW w:type="dxa" w:w="1872"/>
            <w:shd w:fill="F7FAFC"/>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7FAFC"/>
            <w:tcMar>
              <w:top w:w="100" w:type="dxa"/>
              <w:bottom w:w="100" w:type="dxa"/>
              <w:left w:w="150" w:type="dxa"/>
              <w:right w:w="150" w:type="dxa"/>
            </w:tcMar>
          </w:tcPr>
          <w:p>
            <w:pPr>
              <w:spacing w:before="0" w:after="0"/>
              <w:jc w:val="right"/>
            </w:pPr>
            <w:r>
              <w:rPr>
                <w:rFonts w:ascii="Calibri" w:hAnsi="Calibri"/>
                <w:color w:val="2D3748"/>
                <w:sz w:val="18"/>
              </w:rPr>
              <w:t>[96.30%, 100.00%]</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Policy Extraction Ground Truth</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60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FFFFF"/>
            <w:tcMar>
              <w:top w:w="100" w:type="dxa"/>
              <w:bottom w:w="100" w:type="dxa"/>
              <w:left w:w="150" w:type="dxa"/>
              <w:right w:w="150" w:type="dxa"/>
            </w:tcMar>
          </w:tcPr>
          <w:p>
            <w:pPr>
              <w:spacing w:before="0" w:after="0"/>
              <w:jc w:val="right"/>
            </w:pPr>
            <w:r>
              <w:rPr>
                <w:rFonts w:ascii="Calibri" w:hAnsi="Calibri"/>
                <w:color w:val="2D3748"/>
                <w:sz w:val="18"/>
              </w:rPr>
              <w:t>[93.98%, 100.00%]</w:t>
            </w:r>
          </w:p>
        </w:tc>
      </w:tr>
      <w:tr>
        <w:tc>
          <w:tcPr>
            <w:tcW w:type="dxa" w:w="3168"/>
            <w:shd w:fill="F7FAFC"/>
            <w:tcMar>
              <w:top w:w="100" w:type="dxa"/>
              <w:bottom w:w="100" w:type="dxa"/>
              <w:left w:w="150" w:type="dxa"/>
              <w:right w:w="150" w:type="dxa"/>
            </w:tcMar>
          </w:tcPr>
          <w:p>
            <w:pPr>
              <w:spacing w:before="0" w:after="0"/>
              <w:jc w:val="left"/>
            </w:pPr>
            <w:r>
              <w:rPr>
                <w:rFonts w:ascii="Calibri" w:hAnsi="Calibri"/>
                <w:color w:val="2D3748"/>
                <w:sz w:val="18"/>
              </w:rPr>
              <w:t>Adversarial Safety Handling</w:t>
            </w:r>
          </w:p>
        </w:tc>
        <w:tc>
          <w:tcPr>
            <w:tcW w:type="dxa" w:w="1440"/>
            <w:shd w:fill="F7FAFC"/>
            <w:tcMar>
              <w:top w:w="100" w:type="dxa"/>
              <w:bottom w:w="100" w:type="dxa"/>
              <w:left w:w="150" w:type="dxa"/>
              <w:right w:w="150" w:type="dxa"/>
            </w:tcMar>
          </w:tcPr>
          <w:p>
            <w:pPr>
              <w:spacing w:before="0" w:after="0"/>
              <w:jc w:val="right"/>
            </w:pPr>
            <w:r>
              <w:rPr>
                <w:rFonts w:ascii="Calibri" w:hAnsi="Calibri"/>
                <w:color w:val="2D3748"/>
                <w:sz w:val="18"/>
              </w:rPr>
              <w:t>50</w:t>
            </w:r>
          </w:p>
        </w:tc>
        <w:tc>
          <w:tcPr>
            <w:tcW w:type="dxa" w:w="1872"/>
            <w:shd w:fill="F7FAFC"/>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7FAFC"/>
            <w:tcMar>
              <w:top w:w="100" w:type="dxa"/>
              <w:bottom w:w="100" w:type="dxa"/>
              <w:left w:w="150" w:type="dxa"/>
              <w:right w:w="150" w:type="dxa"/>
            </w:tcMar>
          </w:tcPr>
          <w:p>
            <w:pPr>
              <w:spacing w:before="0" w:after="0"/>
              <w:jc w:val="right"/>
            </w:pPr>
            <w:r>
              <w:rPr>
                <w:rFonts w:ascii="Calibri" w:hAnsi="Calibri"/>
                <w:color w:val="2D3748"/>
                <w:sz w:val="18"/>
              </w:rPr>
              <w:t>[92.87%, 100.00%]</w:t>
            </w:r>
          </w:p>
        </w:tc>
      </w:tr>
      <w:tr>
        <w:tc>
          <w:tcPr>
            <w:tcW w:type="dxa" w:w="3168"/>
            <w:shd w:fill="FFFFFF"/>
            <w:tcMar>
              <w:top w:w="100" w:type="dxa"/>
              <w:bottom w:w="100" w:type="dxa"/>
              <w:left w:w="150" w:type="dxa"/>
              <w:right w:w="150" w:type="dxa"/>
            </w:tcMar>
          </w:tcPr>
          <w:p>
            <w:pPr>
              <w:spacing w:before="0" w:after="0"/>
              <w:jc w:val="left"/>
            </w:pPr>
            <w:r>
              <w:rPr>
                <w:rFonts w:ascii="Calibri" w:hAnsi="Calibri"/>
                <w:color w:val="2D3748"/>
                <w:sz w:val="18"/>
              </w:rPr>
              <w:t>Policy QA Citation &amp; Abstention</w:t>
            </w:r>
          </w:p>
        </w:tc>
        <w:tc>
          <w:tcPr>
            <w:tcW w:type="dxa" w:w="1440"/>
            <w:shd w:fill="FFFFFF"/>
            <w:tcMar>
              <w:top w:w="100" w:type="dxa"/>
              <w:bottom w:w="100" w:type="dxa"/>
              <w:left w:w="150" w:type="dxa"/>
              <w:right w:w="150" w:type="dxa"/>
            </w:tcMar>
          </w:tcPr>
          <w:p>
            <w:pPr>
              <w:spacing w:before="0" w:after="0"/>
              <w:jc w:val="right"/>
            </w:pPr>
            <w:r>
              <w:rPr>
                <w:rFonts w:ascii="Calibri" w:hAnsi="Calibri"/>
                <w:color w:val="2D3748"/>
                <w:sz w:val="18"/>
              </w:rPr>
              <w:t>30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100.00%</w:t>
            </w:r>
          </w:p>
        </w:tc>
        <w:tc>
          <w:tcPr>
            <w:tcW w:type="dxa" w:w="2880"/>
            <w:shd w:fill="FFFFFF"/>
            <w:tcMar>
              <w:top w:w="100" w:type="dxa"/>
              <w:bottom w:w="100" w:type="dxa"/>
              <w:left w:w="150" w:type="dxa"/>
              <w:right w:w="150" w:type="dxa"/>
            </w:tcMar>
          </w:tcPr>
          <w:p>
            <w:pPr>
              <w:spacing w:before="0" w:after="0"/>
              <w:jc w:val="right"/>
            </w:pPr>
            <w:r>
              <w:rPr>
                <w:rFonts w:ascii="Calibri" w:hAnsi="Calibri"/>
                <w:color w:val="2D3748"/>
                <w:sz w:val="18"/>
              </w:rPr>
              <w:t>[88.65%, 100.00%]</w:t>
            </w:r>
          </w:p>
        </w:tc>
      </w:tr>
    </w:tbl>
    <w:p>
      <w:pPr>
        <w:spacing w:after="120"/>
      </w:pPr>
    </w:p>
    <w:p>
      <w:pPr>
        <w:spacing w:before="0" w:after="120" w:line="276" w:lineRule="auto"/>
      </w:pPr>
      <w:r>
        <w:rPr>
          <w:rFonts w:ascii="Calibri" w:hAnsi="Calibri"/>
          <w:color w:val="2D3748"/>
          <w:sz w:val="21"/>
        </w:rPr>
        <w:t>Interpretation: For the deterministic financial engine (N=2,000, 100% pass), we establish with 95% statistical confidence that the population exact calculation pass rate is at least 99.81%.</w:t>
      </w:r>
    </w:p>
    <w:p>
      <w:pPr>
        <w:pStyle w:val="Heading1"/>
        <w:keepNext/>
        <w:spacing w:before="280" w:after="120"/>
      </w:pPr>
      <w:r>
        <w:rPr>
          <w:rFonts w:ascii="Calibri" w:hAnsi="Calibri"/>
          <w:b/>
          <w:color w:val="1A365D"/>
          <w:sz w:val="32"/>
        </w:rPr>
        <w:t>17. Final Verified Scorecard</w:t>
      </w:r>
    </w:p>
    <w:p>
      <w:pPr>
        <w:spacing w:before="0" w:after="120" w:line="276" w:lineRule="auto"/>
      </w:pPr>
      <w:r>
        <w:rPr>
          <w:rFonts w:ascii="Calibri" w:hAnsi="Calibri"/>
          <w:color w:val="2D3748"/>
          <w:sz w:val="21"/>
        </w:rPr>
        <w:t>The final verified scorecard summarizes empirical evaluation metrics across all platform components with exact denominators and unambiguous metric definitions: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A365D"/>
            <w:tcMar>
              <w:top w:w="120" w:type="dxa"/>
              <w:bottom w:w="120" w:type="dxa"/>
              <w:left w:w="150" w:type="dxa"/>
              <w:right w:w="150" w:type="dxa"/>
            </w:tcMar>
          </w:tcPr>
          <w:p>
            <w:pPr>
              <w:spacing w:before="0" w:after="0"/>
              <w:jc w:val="center"/>
            </w:pPr>
            <w:r>
              <w:rPr>
                <w:rFonts w:ascii="Calibri" w:hAnsi="Calibri"/>
                <w:b/>
                <w:color w:val="FFFFFF"/>
                <w:sz w:val="19"/>
              </w:rPr>
              <w:t>COMPONENT</w:t>
            </w:r>
          </w:p>
        </w:tc>
        <w:tc>
          <w:tcPr>
            <w:tcW w:type="dxa" w:w="864"/>
            <w:shd w:fill="1A365D"/>
            <w:tcMar>
              <w:top w:w="120" w:type="dxa"/>
              <w:bottom w:w="120" w:type="dxa"/>
              <w:left w:w="150" w:type="dxa"/>
              <w:right w:w="150" w:type="dxa"/>
            </w:tcMar>
          </w:tcPr>
          <w:p>
            <w:pPr>
              <w:spacing w:before="0" w:after="0"/>
              <w:jc w:val="center"/>
            </w:pPr>
            <w:r>
              <w:rPr>
                <w:rFonts w:ascii="Calibri" w:hAnsi="Calibri"/>
                <w:b/>
                <w:color w:val="FFFFFF"/>
                <w:sz w:val="19"/>
              </w:rPr>
              <w:t>N</w:t>
            </w:r>
          </w:p>
        </w:tc>
        <w:tc>
          <w:tcPr>
            <w:tcW w:type="dxa" w:w="864"/>
            <w:shd w:fill="1A365D"/>
            <w:tcMar>
              <w:top w:w="120" w:type="dxa"/>
              <w:bottom w:w="120" w:type="dxa"/>
              <w:left w:w="150" w:type="dxa"/>
              <w:right w:w="150" w:type="dxa"/>
            </w:tcMar>
          </w:tcPr>
          <w:p>
            <w:pPr>
              <w:spacing w:before="0" w:after="0"/>
              <w:jc w:val="center"/>
            </w:pPr>
            <w:r>
              <w:rPr>
                <w:rFonts w:ascii="Calibri" w:hAnsi="Calibri"/>
                <w:b/>
                <w:color w:val="FFFFFF"/>
                <w:sz w:val="19"/>
              </w:rPr>
              <w:t>PASS</w:t>
            </w:r>
          </w:p>
        </w:tc>
        <w:tc>
          <w:tcPr>
            <w:tcW w:type="dxa" w:w="720"/>
            <w:shd w:fill="1A365D"/>
            <w:tcMar>
              <w:top w:w="120" w:type="dxa"/>
              <w:bottom w:w="120" w:type="dxa"/>
              <w:left w:w="150" w:type="dxa"/>
              <w:right w:w="150" w:type="dxa"/>
            </w:tcMar>
          </w:tcPr>
          <w:p>
            <w:pPr>
              <w:spacing w:before="0" w:after="0"/>
              <w:jc w:val="center"/>
            </w:pPr>
            <w:r>
              <w:rPr>
                <w:rFonts w:ascii="Calibri" w:hAnsi="Calibri"/>
                <w:b/>
                <w:color w:val="FFFFFF"/>
                <w:sz w:val="19"/>
              </w:rPr>
              <w:t>FAIL</w:t>
            </w:r>
          </w:p>
        </w:tc>
        <w:tc>
          <w:tcPr>
            <w:tcW w:type="dxa" w:w="1872"/>
            <w:shd w:fill="1A365D"/>
            <w:tcMar>
              <w:top w:w="120" w:type="dxa"/>
              <w:bottom w:w="120" w:type="dxa"/>
              <w:left w:w="150" w:type="dxa"/>
              <w:right w:w="150" w:type="dxa"/>
            </w:tcMar>
          </w:tcPr>
          <w:p>
            <w:pPr>
              <w:spacing w:before="0" w:after="0"/>
              <w:jc w:val="center"/>
            </w:pPr>
            <w:r>
              <w:rPr>
                <w:rFonts w:ascii="Calibri" w:hAnsi="Calibri"/>
                <w:b/>
                <w:color w:val="FFFFFF"/>
                <w:sz w:val="19"/>
              </w:rPr>
              <w:t>PRIMARY METRIC</w:t>
            </w:r>
          </w:p>
        </w:tc>
        <w:tc>
          <w:tcPr>
            <w:tcW w:type="dxa" w:w="1584"/>
            <w:shd w:fill="1A365D"/>
            <w:tcMar>
              <w:top w:w="120" w:type="dxa"/>
              <w:bottom w:w="120" w:type="dxa"/>
              <w:left w:w="150" w:type="dxa"/>
              <w:right w:w="150" w:type="dxa"/>
            </w:tcMar>
          </w:tcPr>
          <w:p>
            <w:pPr>
              <w:spacing w:before="0" w:after="0"/>
              <w:jc w:val="center"/>
            </w:pPr>
            <w:r>
              <w:rPr>
                <w:rFonts w:ascii="Calibri" w:hAnsi="Calibri"/>
                <w:b/>
                <w:color w:val="FFFFFF"/>
                <w:sz w:val="19"/>
              </w:rPr>
              <w:t>RESULT</w:t>
            </w:r>
          </w:p>
        </w:tc>
        <w:tc>
          <w:tcPr>
            <w:tcW w:type="dxa" w:w="1728"/>
            <w:shd w:fill="1A365D"/>
            <w:tcMar>
              <w:top w:w="120" w:type="dxa"/>
              <w:bottom w:w="120" w:type="dxa"/>
              <w:left w:w="150" w:type="dxa"/>
              <w:right w:w="150" w:type="dxa"/>
            </w:tcMar>
          </w:tcPr>
          <w:p>
            <w:pPr>
              <w:spacing w:before="0" w:after="0"/>
              <w:jc w:val="center"/>
            </w:pPr>
            <w:r>
              <w:rPr>
                <w:rFonts w:ascii="Calibri" w:hAnsi="Calibri"/>
                <w:b/>
                <w:color w:val="FFFFFF"/>
                <w:sz w:val="19"/>
              </w:rPr>
              <w:t>INTERPRETATION</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Financial Engine</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2,000</w:t>
            </w:r>
          </w:p>
        </w:tc>
        <w:tc>
          <w:tcPr>
            <w:tcW w:type="dxa" w:w="720"/>
            <w:shd w:fill="FFFFFF"/>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Independent Oracle Match</w:t>
            </w:r>
          </w:p>
        </w:tc>
        <w:tc>
          <w:tcPr>
            <w:tcW w:type="dxa" w:w="1584"/>
            <w:shd w:fill="FFFFFF"/>
            <w:tcMar>
              <w:top w:w="100" w:type="dxa"/>
              <w:bottom w:w="100" w:type="dxa"/>
              <w:left w:w="150" w:type="dxa"/>
              <w:right w:w="150" w:type="dxa"/>
            </w:tcMar>
          </w:tcPr>
          <w:p>
            <w:pPr>
              <w:spacing w:before="0" w:after="0"/>
              <w:jc w:val="left"/>
            </w:pPr>
            <w:r>
              <w:rPr>
                <w:rFonts w:ascii="Calibri" w:hAnsi="Calibri"/>
                <w:color w:val="2D3748"/>
                <w:sz w:val="18"/>
              </w:rPr>
              <w:t>100.00% (INR 0 Error)</w:t>
            </w:r>
          </w:p>
        </w:tc>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100% exact calculation match against independent oracle across 2,000 scenarios.</w:t>
            </w:r>
          </w:p>
        </w:tc>
      </w:tr>
      <w:tr>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Property Testing</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1,000</w:t>
            </w:r>
          </w:p>
        </w:tc>
        <w:tc>
          <w:tcPr>
            <w:tcW w:type="dxa" w:w="720"/>
            <w:shd w:fill="F7FAFC"/>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7FAFC"/>
            <w:tcMar>
              <w:top w:w="100" w:type="dxa"/>
              <w:bottom w:w="100" w:type="dxa"/>
              <w:left w:w="150" w:type="dxa"/>
              <w:right w:w="150" w:type="dxa"/>
            </w:tcMar>
          </w:tcPr>
          <w:p>
            <w:pPr>
              <w:spacing w:before="0" w:after="0"/>
              <w:jc w:val="left"/>
            </w:pPr>
            <w:r>
              <w:rPr>
                <w:rFonts w:ascii="Calibri" w:hAnsi="Calibri"/>
                <w:color w:val="2D3748"/>
                <w:sz w:val="18"/>
              </w:rPr>
              <w:t>Invariant Preservation Rate</w:t>
            </w:r>
          </w:p>
        </w:tc>
        <w:tc>
          <w:tcPr>
            <w:tcW w:type="dxa" w:w="1584"/>
            <w:shd w:fill="F7FAFC"/>
            <w:tcMar>
              <w:top w:w="100" w:type="dxa"/>
              <w:bottom w:w="100" w:type="dxa"/>
              <w:left w:w="150" w:type="dxa"/>
              <w:right w:w="150" w:type="dxa"/>
            </w:tcMar>
          </w:tcPr>
          <w:p>
            <w:pPr>
              <w:spacing w:before="0" w:after="0"/>
              <w:jc w:val="left"/>
            </w:pPr>
            <w:r>
              <w:rPr>
                <w:rFonts w:ascii="Calibri" w:hAnsi="Calibri"/>
                <w:color w:val="2D3748"/>
                <w:sz w:val="18"/>
              </w:rPr>
              <w:t>100.00% (8/8 Invs)</w:t>
            </w:r>
          </w:p>
        </w:tc>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Non-negative OOP, SI caps, and monotonicity proven invariant across 1,000 trials.</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Metamorphic Testing</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500</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500</w:t>
            </w:r>
          </w:p>
        </w:tc>
        <w:tc>
          <w:tcPr>
            <w:tcW w:type="dxa" w:w="720"/>
            <w:shd w:fill="FFFFFF"/>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Directional Consistency</w:t>
            </w:r>
          </w:p>
        </w:tc>
        <w:tc>
          <w:tcPr>
            <w:tcW w:type="dxa" w:w="1584"/>
            <w:shd w:fill="FFFFFF"/>
            <w:tcMar>
              <w:top w:w="100" w:type="dxa"/>
              <w:bottom w:w="100" w:type="dxa"/>
              <w:left w:w="150" w:type="dxa"/>
              <w:right w:w="150" w:type="dxa"/>
            </w:tcMar>
          </w:tcPr>
          <w:p>
            <w:pPr>
              <w:spacing w:before="0" w:after="0"/>
              <w:jc w:val="left"/>
            </w:pPr>
            <w:r>
              <w:rPr>
                <w:rFonts w:ascii="Calibri" w:hAnsi="Calibri"/>
                <w:color w:val="2D3748"/>
                <w:sz w:val="18"/>
              </w:rPr>
              <w:t>100.00% (MR1-MR5)</w:t>
            </w:r>
          </w:p>
        </w:tc>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Outputs scale monotonically under parameter shifts across 500 trials.</w:t>
            </w:r>
          </w:p>
        </w:tc>
      </w:tr>
      <w:tr>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Treatment-Cost ML</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184</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N/A</w:t>
            </w:r>
          </w:p>
        </w:tc>
        <w:tc>
          <w:tcPr>
            <w:tcW w:type="dxa" w:w="720"/>
            <w:shd w:fill="F7FAFC"/>
            <w:tcMar>
              <w:top w:w="100" w:type="dxa"/>
              <w:bottom w:w="100" w:type="dxa"/>
              <w:left w:w="150" w:type="dxa"/>
              <w:right w:w="150" w:type="dxa"/>
            </w:tcMar>
          </w:tcPr>
          <w:p>
            <w:pPr>
              <w:spacing w:before="0" w:after="0"/>
              <w:jc w:val="right"/>
            </w:pPr>
            <w:r>
              <w:rPr>
                <w:rFonts w:ascii="Calibri" w:hAnsi="Calibri"/>
                <w:color w:val="2D3748"/>
                <w:sz w:val="18"/>
              </w:rPr>
              <w:t>N/A</w:t>
            </w:r>
          </w:p>
        </w:tc>
        <w:tc>
          <w:tcPr>
            <w:tcW w:type="dxa" w:w="1872"/>
            <w:shd w:fill="F7FAFC"/>
            <w:tcMar>
              <w:top w:w="100" w:type="dxa"/>
              <w:bottom w:w="100" w:type="dxa"/>
              <w:left w:w="150" w:type="dxa"/>
              <w:right w:w="150" w:type="dxa"/>
            </w:tcMar>
          </w:tcPr>
          <w:p>
            <w:pPr>
              <w:spacing w:before="0" w:after="0"/>
              <w:jc w:val="left"/>
            </w:pPr>
            <w:r>
              <w:rPr>
                <w:rFonts w:ascii="Calibri" w:hAnsi="Calibri"/>
                <w:color w:val="2D3748"/>
                <w:sz w:val="18"/>
              </w:rPr>
              <w:t>10-Fold CV &amp; Domain Refusal</w:t>
            </w:r>
          </w:p>
        </w:tc>
        <w:tc>
          <w:tcPr>
            <w:tcW w:type="dxa" w:w="1584"/>
            <w:shd w:fill="F7FAFC"/>
            <w:tcMar>
              <w:top w:w="100" w:type="dxa"/>
              <w:bottom w:w="100" w:type="dxa"/>
              <w:left w:w="150" w:type="dxa"/>
              <w:right w:w="150" w:type="dxa"/>
            </w:tcMar>
          </w:tcPr>
          <w:p>
            <w:pPr>
              <w:spacing w:before="0" w:after="0"/>
              <w:jc w:val="left"/>
            </w:pPr>
            <w:r>
              <w:rPr>
                <w:rFonts w:ascii="Calibri" w:hAnsi="Calibri"/>
                <w:color w:val="2D3748"/>
                <w:sz w:val="18"/>
              </w:rPr>
              <w:t>MAE: INR 45,468 | R2: 0.3037 | +-20%: 28.3% | Refusal: 20/20</w:t>
            </w:r>
          </w:p>
        </w:tc>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Statistical regression on 184 records; strictly refuses novel procedures (Holdout R2: -0.6839).</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End-to-End Pipeline</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100</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100</w:t>
            </w:r>
          </w:p>
        </w:tc>
        <w:tc>
          <w:tcPr>
            <w:tcW w:type="dxa" w:w="720"/>
            <w:shd w:fill="FFFFFF"/>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Correct Handling Rate</w:t>
            </w:r>
          </w:p>
        </w:tc>
        <w:tc>
          <w:tcPr>
            <w:tcW w:type="dxa" w:w="1584"/>
            <w:shd w:fill="FFFFFF"/>
            <w:tcMar>
              <w:top w:w="100" w:type="dxa"/>
              <w:bottom w:w="100" w:type="dxa"/>
              <w:left w:w="150" w:type="dxa"/>
              <w:right w:w="150" w:type="dxa"/>
            </w:tcMar>
          </w:tcPr>
          <w:p>
            <w:pPr>
              <w:spacing w:before="0" w:after="0"/>
              <w:jc w:val="left"/>
            </w:pPr>
            <w:r>
              <w:rPr>
                <w:rFonts w:ascii="Calibri" w:hAnsi="Calibri"/>
                <w:color w:val="2D3748"/>
                <w:sz w:val="18"/>
              </w:rPr>
              <w:t>70 Adjud / 30 Refuse</w:t>
            </w:r>
          </w:p>
        </w:tc>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100/100 scenarios correctly handled (70 completed adjudications + 30 correct safety refusals).</w:t>
            </w:r>
          </w:p>
        </w:tc>
      </w:tr>
      <w:tr>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Policy Extraction</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60</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60</w:t>
            </w:r>
          </w:p>
        </w:tc>
        <w:tc>
          <w:tcPr>
            <w:tcW w:type="dxa" w:w="720"/>
            <w:shd w:fill="F7FAFC"/>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7FAFC"/>
            <w:tcMar>
              <w:top w:w="100" w:type="dxa"/>
              <w:bottom w:w="100" w:type="dxa"/>
              <w:left w:w="150" w:type="dxa"/>
              <w:right w:w="150" w:type="dxa"/>
            </w:tcMar>
          </w:tcPr>
          <w:p>
            <w:pPr>
              <w:spacing w:before="0" w:after="0"/>
              <w:jc w:val="right"/>
            </w:pPr>
            <w:r>
              <w:rPr>
                <w:rFonts w:ascii="Calibri" w:hAnsi="Calibri"/>
                <w:color w:val="2D3748"/>
                <w:sz w:val="18"/>
              </w:rPr>
              <w:t>Field Ground-Truth Match</w:t>
            </w:r>
          </w:p>
        </w:tc>
        <w:tc>
          <w:tcPr>
            <w:tcW w:type="dxa" w:w="1584"/>
            <w:shd w:fill="F7FAFC"/>
            <w:tcMar>
              <w:top w:w="100" w:type="dxa"/>
              <w:bottom w:w="100" w:type="dxa"/>
              <w:left w:w="150" w:type="dxa"/>
              <w:right w:w="150" w:type="dxa"/>
            </w:tcMar>
          </w:tcPr>
          <w:p>
            <w:pPr>
              <w:spacing w:before="0" w:after="0"/>
              <w:jc w:val="left"/>
            </w:pPr>
            <w:r>
              <w:rPr>
                <w:rFonts w:ascii="Calibri" w:hAnsi="Calibri"/>
                <w:color w:val="2D3748"/>
                <w:sz w:val="18"/>
              </w:rPr>
              <w:t>100.00% (60/60)</w:t>
            </w:r>
          </w:p>
        </w:tc>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100% field extraction match across 6 audited digital policy documents.</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Adversarial Testing</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50</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50</w:t>
            </w:r>
          </w:p>
        </w:tc>
        <w:tc>
          <w:tcPr>
            <w:tcW w:type="dxa" w:w="720"/>
            <w:shd w:fill="FFFFFF"/>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Safe Handling / Refusal</w:t>
            </w:r>
          </w:p>
        </w:tc>
        <w:tc>
          <w:tcPr>
            <w:tcW w:type="dxa" w:w="1584"/>
            <w:shd w:fill="FFFFFF"/>
            <w:tcMar>
              <w:top w:w="100" w:type="dxa"/>
              <w:bottom w:w="100" w:type="dxa"/>
              <w:left w:w="150" w:type="dxa"/>
              <w:right w:w="150" w:type="dxa"/>
            </w:tcMar>
          </w:tcPr>
          <w:p>
            <w:pPr>
              <w:spacing w:before="0" w:after="0"/>
              <w:jc w:val="left"/>
            </w:pPr>
            <w:r>
              <w:rPr>
                <w:rFonts w:ascii="Calibri" w:hAnsi="Calibri"/>
                <w:color w:val="2D3748"/>
                <w:sz w:val="18"/>
              </w:rPr>
              <w:t>100.00% (50/50)</w:t>
            </w:r>
          </w:p>
        </w:tc>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100% safe handling across 50 evaluated adversarial cases.</w:t>
            </w:r>
          </w:p>
        </w:tc>
      </w:tr>
      <w:tr>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RAG / Policy QA</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30</w:t>
            </w:r>
          </w:p>
        </w:tc>
        <w:tc>
          <w:tcPr>
            <w:tcW w:type="dxa" w:w="864"/>
            <w:shd w:fill="F7FAFC"/>
            <w:tcMar>
              <w:top w:w="100" w:type="dxa"/>
              <w:bottom w:w="100" w:type="dxa"/>
              <w:left w:w="150" w:type="dxa"/>
              <w:right w:w="150" w:type="dxa"/>
            </w:tcMar>
          </w:tcPr>
          <w:p>
            <w:pPr>
              <w:spacing w:before="0" w:after="0"/>
              <w:jc w:val="right"/>
            </w:pPr>
            <w:r>
              <w:rPr>
                <w:rFonts w:ascii="Calibri" w:hAnsi="Calibri"/>
                <w:color w:val="2D3748"/>
                <w:sz w:val="18"/>
              </w:rPr>
              <w:t>30</w:t>
            </w:r>
          </w:p>
        </w:tc>
        <w:tc>
          <w:tcPr>
            <w:tcW w:type="dxa" w:w="720"/>
            <w:shd w:fill="F7FAFC"/>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7FAFC"/>
            <w:tcMar>
              <w:top w:w="100" w:type="dxa"/>
              <w:bottom w:w="100" w:type="dxa"/>
              <w:left w:w="150" w:type="dxa"/>
              <w:right w:w="150" w:type="dxa"/>
            </w:tcMar>
          </w:tcPr>
          <w:p>
            <w:pPr>
              <w:spacing w:before="0" w:after="0"/>
              <w:jc w:val="left"/>
            </w:pPr>
            <w:r>
              <w:rPr>
                <w:rFonts w:ascii="Calibri" w:hAnsi="Calibri"/>
                <w:color w:val="2D3748"/>
                <w:sz w:val="18"/>
              </w:rPr>
              <w:t>Citation &amp; Answer Correctness</w:t>
            </w:r>
          </w:p>
        </w:tc>
        <w:tc>
          <w:tcPr>
            <w:tcW w:type="dxa" w:w="1584"/>
            <w:shd w:fill="F7FAFC"/>
            <w:tcMar>
              <w:top w:w="100" w:type="dxa"/>
              <w:bottom w:w="100" w:type="dxa"/>
              <w:left w:w="150" w:type="dxa"/>
              <w:right w:w="150" w:type="dxa"/>
            </w:tcMar>
          </w:tcPr>
          <w:p>
            <w:pPr>
              <w:spacing w:before="0" w:after="0"/>
              <w:jc w:val="left"/>
            </w:pPr>
            <w:r>
              <w:rPr>
                <w:rFonts w:ascii="Calibri" w:hAnsi="Calibri"/>
                <w:color w:val="2D3748"/>
                <w:sz w:val="18"/>
              </w:rPr>
              <w:t>Ans: 30/30 | Cit: 30/30 | Abs: 30/30</w:t>
            </w:r>
          </w:p>
        </w:tc>
        <w:tc>
          <w:tcPr>
            <w:tcW w:type="dxa" w:w="1728"/>
            <w:shd w:fill="F7FAFC"/>
            <w:tcMar>
              <w:top w:w="100" w:type="dxa"/>
              <w:bottom w:w="100" w:type="dxa"/>
              <w:left w:w="150" w:type="dxa"/>
              <w:right w:w="150" w:type="dxa"/>
            </w:tcMar>
          </w:tcPr>
          <w:p>
            <w:pPr>
              <w:spacing w:before="0" w:after="0"/>
              <w:jc w:val="left"/>
            </w:pPr>
            <w:r>
              <w:rPr>
                <w:rFonts w:ascii="Calibri" w:hAnsi="Calibri"/>
                <w:color w:val="2D3748"/>
                <w:sz w:val="18"/>
              </w:rPr>
              <w:t>30/30 answer correctness, 30/30 citation correctness, 30/30 abstention correctness.</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Regression Suite</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229</w:t>
            </w:r>
          </w:p>
        </w:tc>
        <w:tc>
          <w:tcPr>
            <w:tcW w:type="dxa" w:w="864"/>
            <w:shd w:fill="FFFFFF"/>
            <w:tcMar>
              <w:top w:w="100" w:type="dxa"/>
              <w:bottom w:w="100" w:type="dxa"/>
              <w:left w:w="150" w:type="dxa"/>
              <w:right w:w="150" w:type="dxa"/>
            </w:tcMar>
          </w:tcPr>
          <w:p>
            <w:pPr>
              <w:spacing w:before="0" w:after="0"/>
              <w:jc w:val="right"/>
            </w:pPr>
            <w:r>
              <w:rPr>
                <w:rFonts w:ascii="Calibri" w:hAnsi="Calibri"/>
                <w:color w:val="2D3748"/>
                <w:sz w:val="18"/>
              </w:rPr>
              <w:t>229</w:t>
            </w:r>
          </w:p>
        </w:tc>
        <w:tc>
          <w:tcPr>
            <w:tcW w:type="dxa" w:w="720"/>
            <w:shd w:fill="FFFFFF"/>
            <w:tcMar>
              <w:top w:w="100" w:type="dxa"/>
              <w:bottom w:w="100" w:type="dxa"/>
              <w:left w:w="150" w:type="dxa"/>
              <w:right w:w="150" w:type="dxa"/>
            </w:tcMar>
          </w:tcPr>
          <w:p>
            <w:pPr>
              <w:spacing w:before="0" w:after="0"/>
              <w:jc w:val="right"/>
            </w:pPr>
            <w:r>
              <w:rPr>
                <w:rFonts w:ascii="Calibri" w:hAnsi="Calibri"/>
                <w:color w:val="2D3748"/>
                <w:sz w:val="18"/>
              </w:rPr>
              <w:t>0</w:t>
            </w:r>
          </w:p>
        </w:tc>
        <w:tc>
          <w:tcPr>
            <w:tcW w:type="dxa" w:w="1872"/>
            <w:shd w:fill="FFFFFF"/>
            <w:tcMar>
              <w:top w:w="100" w:type="dxa"/>
              <w:bottom w:w="100" w:type="dxa"/>
              <w:left w:w="150" w:type="dxa"/>
              <w:right w:w="150" w:type="dxa"/>
            </w:tcMar>
          </w:tcPr>
          <w:p>
            <w:pPr>
              <w:spacing w:before="0" w:after="0"/>
              <w:jc w:val="right"/>
            </w:pPr>
            <w:r>
              <w:rPr>
                <w:rFonts w:ascii="Calibri" w:hAnsi="Calibri"/>
                <w:color w:val="2D3748"/>
                <w:sz w:val="18"/>
              </w:rPr>
              <w:t>Baseline Vitest Suite</w:t>
            </w:r>
          </w:p>
        </w:tc>
        <w:tc>
          <w:tcPr>
            <w:tcW w:type="dxa" w:w="1584"/>
            <w:shd w:fill="FFFFFF"/>
            <w:tcMar>
              <w:top w:w="100" w:type="dxa"/>
              <w:bottom w:w="100" w:type="dxa"/>
              <w:left w:w="150" w:type="dxa"/>
              <w:right w:w="150" w:type="dxa"/>
            </w:tcMar>
          </w:tcPr>
          <w:p>
            <w:pPr>
              <w:spacing w:before="0" w:after="0"/>
              <w:jc w:val="left"/>
            </w:pPr>
            <w:r>
              <w:rPr>
                <w:rFonts w:ascii="Calibri" w:hAnsi="Calibri"/>
                <w:color w:val="2D3748"/>
                <w:sz w:val="18"/>
              </w:rPr>
              <w:t>100.00% (229/229)</w:t>
            </w:r>
          </w:p>
        </w:tc>
        <w:tc>
          <w:tcPr>
            <w:tcW w:type="dxa" w:w="1728"/>
            <w:shd w:fill="FFFFFF"/>
            <w:tcMar>
              <w:top w:w="100" w:type="dxa"/>
              <w:bottom w:w="100" w:type="dxa"/>
              <w:left w:w="150" w:type="dxa"/>
              <w:right w:w="150" w:type="dxa"/>
            </w:tcMar>
          </w:tcPr>
          <w:p>
            <w:pPr>
              <w:spacing w:before="0" w:after="0"/>
              <w:jc w:val="left"/>
            </w:pPr>
            <w:r>
              <w:rPr>
                <w:rFonts w:ascii="Calibri" w:hAnsi="Calibri"/>
                <w:color w:val="2D3748"/>
                <w:sz w:val="18"/>
              </w:rPr>
              <w:t>Full backward compatibility; zero regressions across 16 test files.</w:t>
            </w:r>
          </w:p>
        </w:tc>
      </w:tr>
    </w:tbl>
    <w:p>
      <w:pPr>
        <w:spacing w:after="120"/>
      </w:pPr>
    </w:p>
    <w:p>
      <w:pPr>
        <w:pStyle w:val="Heading1"/>
        <w:keepNext/>
        <w:spacing w:before="280" w:after="120"/>
      </w:pPr>
      <w:r>
        <w:rPr>
          <w:rFonts w:ascii="Calibri" w:hAnsi="Calibri"/>
          <w:b/>
          <w:color w:val="1A365D"/>
          <w:sz w:val="32"/>
        </w:rPr>
        <w:t>18. Final Verdict &amp; Claim Integrity</w:t>
      </w:r>
    </w:p>
    <w:p>
      <w:pPr>
        <w:spacing w:before="0" w:after="120" w:line="276" w:lineRule="auto"/>
      </w:pPr>
      <w:r>
        <w:rPr>
          <w:rFonts w:ascii="Calibri" w:hAnsi="Calibri"/>
          <w:b/>
          <w:color w:val="1A365D"/>
          <w:sz w:val="21"/>
        </w:rPr>
        <w:t xml:space="preserve">A. </w:t>
      </w:r>
      <w:r>
        <w:rPr>
          <w:rFonts w:ascii="Calibri" w:hAnsi="Calibri"/>
          <w:color w:val="2D3748"/>
          <w:sz w:val="21"/>
        </w:rPr>
        <w:t>WHAT THE EVIDENCE SUPPORTS:</w:t>
      </w:r>
    </w:p>
    <w:p>
      <w:pPr>
        <w:spacing w:before="0" w:after="120" w:line="276" w:lineRule="auto"/>
      </w:pPr>
      <w:r>
        <w:rPr>
          <w:rFonts w:ascii="Calibri" w:hAnsi="Calibri"/>
          <w:color w:val="2D3748"/>
          <w:sz w:val="21"/>
        </w:rPr>
        <w:t>1. Deterministic Financial Engine: The evidence supports 100% exact calculation match against the independent oracle across 2,000 evaluated scenarios covering the implemented financial-rule combinations (Sum Insured caps, room rent limits, proportionate deductions, ailment sub-limits, deductibles, network/non-network co-pays, and non-medical allowances) with maximum rupee error of INR 0.</w:t>
      </w:r>
    </w:p>
    <w:p>
      <w:pPr>
        <w:spacing w:before="0" w:after="120" w:line="276" w:lineRule="auto"/>
      </w:pPr>
      <w:r>
        <w:rPr>
          <w:rFonts w:ascii="Calibri" w:hAnsi="Calibri"/>
          <w:color w:val="2D3748"/>
          <w:sz w:val="21"/>
        </w:rPr>
        <w:t>2. Adjudication Invariants: The evidence supports universal preservation of 8 core mathematical invariants across 1,000 randomized permutations (non-negative OOP, SI ceilings, deductible and co-pay monotonicity, and zero SI capping).</w:t>
      </w:r>
    </w:p>
    <w:p>
      <w:pPr>
        <w:spacing w:before="0" w:after="120" w:line="276" w:lineRule="auto"/>
      </w:pPr>
      <w:r>
        <w:rPr>
          <w:rFonts w:ascii="Calibri" w:hAnsi="Calibri"/>
          <w:color w:val="2D3748"/>
          <w:sz w:val="21"/>
        </w:rPr>
        <w:t>3. Metamorphic Preservation: The evidence supports directional monotonicity across 500 test trials (MR1 to MR5) under duration extensions, room upgrades, co-pay increments, deductible shifts, and Sum Insured expansions.</w:t>
      </w:r>
    </w:p>
    <w:p>
      <w:pPr>
        <w:spacing w:before="0" w:after="120" w:line="276" w:lineRule="auto"/>
      </w:pPr>
      <w:r>
        <w:rPr>
          <w:rFonts w:ascii="Calibri" w:hAnsi="Calibri"/>
          <w:color w:val="2D3748"/>
          <w:sz w:val="21"/>
        </w:rPr>
        <w:t>4. Treatment-Cost ML Performance: The evidence supports an empirical 10-fold cross-validation MAE of INR 45,468 (Median AE: INR 22,309) with 28.3% of predictions within +-20% and 44.0% within +-30% on the 184-record benchmark dataset for verified in-domain procedures, with 100% safe refusal on unsupported procedures (20/20).</w:t>
      </w:r>
    </w:p>
    <w:p>
      <w:pPr>
        <w:spacing w:before="0" w:after="120" w:line="276" w:lineRule="auto"/>
      </w:pPr>
      <w:r>
        <w:rPr>
          <w:rFonts w:ascii="Calibri" w:hAnsi="Calibri"/>
          <w:color w:val="2D3748"/>
          <w:sz w:val="21"/>
        </w:rPr>
        <w:t>5. Cost-Driver Attribution: The evidence supports exact additive mathematical reconciliation (&lt; 1e-4 error) between local feature contributions and model predictions across 50 audited cases.</w:t>
      </w:r>
    </w:p>
    <w:p>
      <w:pPr>
        <w:spacing w:before="0" w:after="120" w:line="276" w:lineRule="auto"/>
      </w:pPr>
      <w:r>
        <w:rPr>
          <w:rFonts w:ascii="Calibri" w:hAnsi="Calibri"/>
          <w:color w:val="2D3748"/>
          <w:sz w:val="21"/>
        </w:rPr>
        <w:t>6. Policy Extraction: The evidence supports 100% field extraction match across 60 independently verified fields in 6 digital policy schedules.</w:t>
      </w:r>
    </w:p>
    <w:p>
      <w:pPr>
        <w:spacing w:before="0" w:after="120" w:line="276" w:lineRule="auto"/>
      </w:pPr>
      <w:r>
        <w:rPr>
          <w:rFonts w:ascii="Calibri" w:hAnsi="Calibri"/>
          <w:color w:val="2D3748"/>
          <w:sz w:val="21"/>
        </w:rPr>
        <w:t>7. Policy QA / RAG: The evidence supports 100% citation correctness (30/30), 100% abstention correctness (30/30), and 100% grounded answer correctness (30/30) on tested contractual provisions.</w:t>
      </w:r>
    </w:p>
    <w:p>
      <w:pPr>
        <w:spacing w:before="0" w:after="120" w:line="276" w:lineRule="auto"/>
      </w:pPr>
      <w:r>
        <w:rPr>
          <w:rFonts w:ascii="Calibri" w:hAnsi="Calibri"/>
          <w:color w:val="2D3748"/>
          <w:sz w:val="21"/>
        </w:rPr>
        <w:t>8. Adversarial Resilience: The evidence supports 100% safe handling across 50 evaluated adversarial cases without crashes, NaNs, or affirmative hallucinations.</w:t>
      </w:r>
    </w:p>
    <w:p>
      <w:pPr>
        <w:spacing w:before="0" w:after="120" w:line="276" w:lineRule="auto"/>
      </w:pPr>
      <w:r>
        <w:rPr>
          <w:rFonts w:ascii="Calibri" w:hAnsi="Calibri"/>
          <w:color w:val="2D3748"/>
          <w:sz w:val="21"/>
        </w:rPr>
        <w:t>9. End-to-End Pipeline: The evidence supports a 100% correct handling rate across 100 scenarios (70 completed adjudications + 30 correct safety refusals).</w:t>
      </w:r>
    </w:p>
    <w:p>
      <w:pPr>
        <w:spacing w:before="0" w:after="120" w:line="276" w:lineRule="auto"/>
      </w:pPr>
      <w:r>
        <w:rPr>
          <w:rFonts w:ascii="Calibri" w:hAnsi="Calibri"/>
          <w:color w:val="2D3748"/>
          <w:sz w:val="21"/>
        </w:rPr>
        <w:t>10. Regression Safety: The evidence supports zero regressions across 229 baseline unit tests in 16 test files.</w:t>
      </w:r>
    </w:p>
    <w:p>
      <w:pPr>
        <w:spacing w:before="0" w:after="120" w:line="276" w:lineRule="auto"/>
      </w:pPr>
      <w:r>
        <w:rPr>
          <w:rFonts w:ascii="Calibri" w:hAnsi="Calibri"/>
          <w:b/>
          <w:color w:val="1A365D"/>
          <w:sz w:val="21"/>
        </w:rPr>
        <w:t xml:space="preserve">B. </w:t>
      </w:r>
      <w:r>
        <w:rPr>
          <w:rFonts w:ascii="Calibri" w:hAnsi="Calibri"/>
          <w:color w:val="2D3748"/>
          <w:sz w:val="21"/>
        </w:rPr>
        <w:t>WHAT THE EVIDENCE DOES NOT SUPPORT:</w:t>
      </w:r>
    </w:p>
    <w:p>
      <w:pPr>
        <w:spacing w:before="0" w:after="120" w:line="276" w:lineRule="auto"/>
      </w:pPr>
      <w:r>
        <w:rPr>
          <w:rFonts w:ascii="Calibri" w:hAnsi="Calibri"/>
          <w:color w:val="2D3748"/>
          <w:sz w:val="21"/>
        </w:rPr>
        <w:t>1. Universal Adjudication: The evidence DOES NOT SUPPORT that real-world insurance companies will never dispute clinical documentation, medical necessity, or coding nuances in actual hospital claim arbitration.</w:t>
      </w:r>
    </w:p>
    <w:p>
      <w:pPr>
        <w:spacing w:before="0" w:after="120" w:line="276" w:lineRule="auto"/>
      </w:pPr>
      <w:r>
        <w:rPr>
          <w:rFonts w:ascii="Calibri" w:hAnsi="Calibri"/>
          <w:color w:val="2D3748"/>
          <w:sz w:val="21"/>
        </w:rPr>
        <w:t>2. Extrapolation to Novel Surgeries: The evidence DOES NOT SUPPORT that the ML model can predict costs for arbitrary or unverified surgical procedures (Grouped 5-Fold Procedure Holdout R2 is -0.6839). The system must retain its status: 'insufficient_data' refusal.</w:t>
      </w:r>
    </w:p>
    <w:p>
      <w:pPr>
        <w:spacing w:before="0" w:after="120" w:line="276" w:lineRule="auto"/>
      </w:pPr>
      <w:r>
        <w:rPr>
          <w:rFonts w:ascii="Calibri" w:hAnsi="Calibri"/>
          <w:color w:val="2D3748"/>
          <w:sz w:val="21"/>
        </w:rPr>
        <w:t>3. Universal OCR on Damaged Documents: The evidence DOES NOT SUPPORT 100% extraction accuracy on handwritten, torn, or severely degraded photocopy document scans.</w:t>
      </w:r>
    </w:p>
    <w:p>
      <w:pPr>
        <w:spacing w:before="0" w:after="120" w:line="276" w:lineRule="auto"/>
      </w:pPr>
      <w:r>
        <w:rPr>
          <w:rFonts w:ascii="Calibri" w:hAnsi="Calibri"/>
          <w:color w:val="2D3748"/>
          <w:sz w:val="21"/>
        </w:rPr>
        <w:t>4. Legal Representation: The evidence DOES NOT SUPPORT that the conversational RAG assistant replaces formal legal counsel or licensed Third Party Administrator (TPA) settlement authority.</w:t>
      </w:r>
    </w:p>
    <w:p>
      <w:pPr>
        <w:spacing w:before="0" w:after="120" w:line="276" w:lineRule="auto"/>
      </w:pPr>
      <w:r>
        <w:rPr>
          <w:rFonts w:ascii="Calibri" w:hAnsi="Calibri"/>
          <w:color w:val="2D3748"/>
          <w:sz w:val="21"/>
        </w:rPr>
        <w:t>5. Single Synthetic 'AI Accuracy': The evidence DOES NOT SUPPORT collapsing disparate system capabilities into a single generic 'overall accuracy' metric.</w:t>
      </w:r>
    </w:p>
    <w:p>
      <w:pPr>
        <w:spacing w:before="0" w:after="120" w:line="276" w:lineRule="auto"/>
      </w:pPr>
      <w:r>
        <w:rPr>
          <w:rFonts w:ascii="Calibri" w:hAnsi="Calibri"/>
          <w:b/>
          <w:color w:val="1A365D"/>
          <w:sz w:val="21"/>
        </w:rPr>
        <w:t xml:space="preserve">C. </w:t>
      </w:r>
      <w:r>
        <w:rPr>
          <w:rFonts w:ascii="Calibri" w:hAnsi="Calibri"/>
          <w:color w:val="2D3748"/>
          <w:sz w:val="21"/>
        </w:rPr>
        <w:t>SEPARATION OF ARCHITECTURAL CONCERNS:</w:t>
      </w:r>
    </w:p>
    <w:p>
      <w:pPr>
        <w:spacing w:before="0" w:after="120" w:line="276" w:lineRule="auto"/>
      </w:pPr>
      <w:r>
        <w:rPr>
          <w:rFonts w:ascii="Calibri" w:hAnsi="Calibri"/>
          <w:color w:val="2D3748"/>
          <w:sz w:val="21"/>
        </w:rPr>
        <w:t>• Deterministic Engine: Authoritative insurance adjudication tested for exact rule correctness; zero tolerance for mathematical error.</w:t>
      </w:r>
    </w:p>
    <w:p>
      <w:pPr>
        <w:spacing w:before="0" w:after="120" w:line="276" w:lineRule="auto"/>
      </w:pPr>
      <w:r>
        <w:rPr>
          <w:rFonts w:ascii="Calibri" w:hAnsi="Calibri"/>
          <w:color w:val="2D3748"/>
          <w:sz w:val="21"/>
        </w:rPr>
        <w:t>• Treatment-Cost ML: Statistical estimation reflecting empirical benchmark patterns, not deterministic legal adjudication.</w:t>
      </w:r>
    </w:p>
    <w:p>
      <w:pPr>
        <w:spacing w:before="0" w:after="120" w:line="276" w:lineRule="auto"/>
      </w:pPr>
      <w:r>
        <w:rPr>
          <w:rFonts w:ascii="Calibri" w:hAnsi="Calibri"/>
          <w:color w:val="2D3748"/>
          <w:sz w:val="21"/>
        </w:rPr>
        <w:t>• Policy RAG: Contractual document understanding and clause retrieval, not financial arithmetic.</w:t>
      </w:r>
    </w:p>
    <w:p>
      <w:pPr>
        <w:spacing w:before="0" w:after="120" w:line="276" w:lineRule="auto"/>
      </w:pPr>
      <w:r>
        <w:rPr>
          <w:rFonts w:ascii="Calibri" w:hAnsi="Calibri"/>
          <w:color w:val="2D3748"/>
          <w:sz w:val="21"/>
        </w:rPr>
        <w:t>• External LLM (Gemini): Natural language synthesis and document intelligence, strictly decoupled from financial calculations.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50" w:type="dxa"/>
              <w:right w:w="150" w:type="dxa"/>
            </w:tcMar>
          </w:tcPr>
          <w:p>
            <w:pPr>
              <w:spacing w:before="0" w:after="0"/>
              <w:jc w:val="center"/>
            </w:pPr>
            <w:r>
              <w:rPr>
                <w:rFonts w:ascii="Calibri" w:hAnsi="Calibri"/>
                <w:b/>
                <w:color w:val="FFFFFF"/>
                <w:sz w:val="19"/>
              </w:rPr>
              <w:t>Subsystem Domain</w:t>
            </w:r>
          </w:p>
        </w:tc>
        <w:tc>
          <w:tcPr>
            <w:tcW w:type="dxa" w:w="3456"/>
            <w:shd w:fill="1A365D"/>
            <w:tcMar>
              <w:top w:w="120" w:type="dxa"/>
              <w:bottom w:w="120" w:type="dxa"/>
              <w:left w:w="150" w:type="dxa"/>
              <w:right w:w="150" w:type="dxa"/>
            </w:tcMar>
          </w:tcPr>
          <w:p>
            <w:pPr>
              <w:spacing w:before="0" w:after="0"/>
              <w:jc w:val="center"/>
            </w:pPr>
            <w:r>
              <w:rPr>
                <w:rFonts w:ascii="Calibri" w:hAnsi="Calibri"/>
                <w:b/>
                <w:color w:val="FFFFFF"/>
                <w:sz w:val="19"/>
              </w:rPr>
              <w:t>Scientifically Defensible Claim (PERMITTED)</w:t>
            </w:r>
          </w:p>
        </w:tc>
        <w:tc>
          <w:tcPr>
            <w:tcW w:type="dxa" w:w="3312"/>
            <w:shd w:fill="1A365D"/>
            <w:tcMar>
              <w:top w:w="120" w:type="dxa"/>
              <w:bottom w:w="120" w:type="dxa"/>
              <w:left w:w="150" w:type="dxa"/>
              <w:right w:w="150" w:type="dxa"/>
            </w:tcMar>
          </w:tcPr>
          <w:p>
            <w:pPr>
              <w:spacing w:before="0" w:after="0"/>
              <w:jc w:val="center"/>
            </w:pPr>
            <w:r>
              <w:rPr>
                <w:rFonts w:ascii="Calibri" w:hAnsi="Calibri"/>
                <w:b/>
                <w:color w:val="FFFFFF"/>
                <w:sz w:val="19"/>
              </w:rPr>
              <w:t>Unsupported Claim (STRICTLY PROHIBITED)</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D3748"/>
                <w:sz w:val="18"/>
              </w:rPr>
              <w:t>Financial Adjudication</w:t>
            </w:r>
          </w:p>
        </w:tc>
        <w:tc>
          <w:tcPr>
            <w:tcW w:type="dxa" w:w="3456"/>
            <w:shd w:fill="FFFFFF"/>
            <w:tcMar>
              <w:top w:w="100" w:type="dxa"/>
              <w:bottom w:w="100" w:type="dxa"/>
              <w:left w:w="150" w:type="dxa"/>
              <w:right w:w="150" w:type="dxa"/>
            </w:tcMar>
          </w:tcPr>
          <w:p>
            <w:pPr>
              <w:spacing w:before="0" w:after="0"/>
              <w:jc w:val="left"/>
            </w:pPr>
            <w:r>
              <w:rPr>
                <w:rFonts w:ascii="Calibri" w:hAnsi="Calibri"/>
                <w:color w:val="2D3748"/>
                <w:sz w:val="18"/>
              </w:rPr>
              <w:t>100% exact calculation match against the independent oracle across 2,000 evaluated scenarios covering implemented financial rules (INR 0 error).</w:t>
            </w:r>
          </w:p>
        </w:tc>
        <w:tc>
          <w:tcPr>
            <w:tcW w:type="dxa" w:w="3312"/>
            <w:shd w:fill="FFFFFF"/>
            <w:tcMar>
              <w:top w:w="100" w:type="dxa"/>
              <w:bottom w:w="100" w:type="dxa"/>
              <w:left w:w="150" w:type="dxa"/>
              <w:right w:w="150" w:type="dxa"/>
            </w:tcMar>
          </w:tcPr>
          <w:p>
            <w:pPr>
              <w:spacing w:before="0" w:after="0"/>
              <w:jc w:val="left"/>
            </w:pPr>
            <w:r>
              <w:rPr>
                <w:rFonts w:ascii="Calibri" w:hAnsi="Calibri"/>
                <w:color w:val="2D3748"/>
                <w:sz w:val="18"/>
              </w:rPr>
              <w:t>DO NOT CLAIM that insurers will never dispute clinical documentation in real-world arbitration.</w:t>
            </w:r>
          </w:p>
        </w:tc>
      </w:tr>
      <w:tr>
        <w:tc>
          <w:tcPr>
            <w:tcW w:type="dxa" w:w="2592"/>
            <w:shd w:fill="F7FAFC"/>
            <w:tcMar>
              <w:top w:w="100" w:type="dxa"/>
              <w:bottom w:w="100" w:type="dxa"/>
              <w:left w:w="150" w:type="dxa"/>
              <w:right w:w="150" w:type="dxa"/>
            </w:tcMar>
          </w:tcPr>
          <w:p>
            <w:pPr>
              <w:spacing w:before="0" w:after="0"/>
              <w:jc w:val="left"/>
            </w:pPr>
            <w:r>
              <w:rPr>
                <w:rFonts w:ascii="Calibri" w:hAnsi="Calibri"/>
                <w:color w:val="2D3748"/>
                <w:sz w:val="18"/>
              </w:rPr>
              <w:t>Treatment-Cost ML</w:t>
            </w:r>
          </w:p>
        </w:tc>
        <w:tc>
          <w:tcPr>
            <w:tcW w:type="dxa" w:w="3456"/>
            <w:shd w:fill="F7FAFC"/>
            <w:tcMar>
              <w:top w:w="100" w:type="dxa"/>
              <w:bottom w:w="100" w:type="dxa"/>
              <w:left w:w="150" w:type="dxa"/>
              <w:right w:w="150" w:type="dxa"/>
            </w:tcMar>
          </w:tcPr>
          <w:p>
            <w:pPr>
              <w:spacing w:before="0" w:after="0"/>
              <w:jc w:val="left"/>
            </w:pPr>
            <w:r>
              <w:rPr>
                <w:rFonts w:ascii="Calibri" w:hAnsi="Calibri"/>
                <w:color w:val="2D3748"/>
                <w:sz w:val="18"/>
              </w:rPr>
              <w:t>MAE of INR 45,468 (Median AE: INR 22,309) with 28.3% within +-20% of observed tariffs on verified procedures; 100% safe refusal on unsupported procedures.</w:t>
            </w:r>
          </w:p>
        </w:tc>
        <w:tc>
          <w:tcPr>
            <w:tcW w:type="dxa" w:w="3312"/>
            <w:shd w:fill="F7FAFC"/>
            <w:tcMar>
              <w:top w:w="100" w:type="dxa"/>
              <w:bottom w:w="100" w:type="dxa"/>
              <w:left w:w="150" w:type="dxa"/>
              <w:right w:w="150" w:type="dxa"/>
            </w:tcMar>
          </w:tcPr>
          <w:p>
            <w:pPr>
              <w:spacing w:before="0" w:after="0"/>
              <w:jc w:val="left"/>
            </w:pPr>
            <w:r>
              <w:rPr>
                <w:rFonts w:ascii="Calibri" w:hAnsi="Calibri"/>
                <w:color w:val="2D3748"/>
                <w:sz w:val="18"/>
              </w:rPr>
              <w:t>DO NOT CLAIM that the model can predict costs for arbitrary novel surgeries (Grouped holdout R2 is negative).</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D3748"/>
                <w:sz w:val="18"/>
              </w:rPr>
              <w:t>Policy Extraction</w:t>
            </w:r>
          </w:p>
        </w:tc>
        <w:tc>
          <w:tcPr>
            <w:tcW w:type="dxa" w:w="3456"/>
            <w:shd w:fill="FFFFFF"/>
            <w:tcMar>
              <w:top w:w="100" w:type="dxa"/>
              <w:bottom w:w="100" w:type="dxa"/>
              <w:left w:w="150" w:type="dxa"/>
              <w:right w:w="150" w:type="dxa"/>
            </w:tcMar>
          </w:tcPr>
          <w:p>
            <w:pPr>
              <w:spacing w:before="0" w:after="0"/>
              <w:jc w:val="left"/>
            </w:pPr>
            <w:r>
              <w:rPr>
                <w:rFonts w:ascii="Calibri" w:hAnsi="Calibri"/>
                <w:color w:val="2D3748"/>
                <w:sz w:val="18"/>
              </w:rPr>
              <w:t>100.00% field extraction accuracy across standard digital policy schedules in the audited repository corpus (60/60 fields).</w:t>
            </w:r>
          </w:p>
        </w:tc>
        <w:tc>
          <w:tcPr>
            <w:tcW w:type="dxa" w:w="3312"/>
            <w:shd w:fill="FFFFFF"/>
            <w:tcMar>
              <w:top w:w="100" w:type="dxa"/>
              <w:bottom w:w="100" w:type="dxa"/>
              <w:left w:w="150" w:type="dxa"/>
              <w:right w:w="150" w:type="dxa"/>
            </w:tcMar>
          </w:tcPr>
          <w:p>
            <w:pPr>
              <w:spacing w:before="0" w:after="0"/>
              <w:jc w:val="left"/>
            </w:pPr>
            <w:r>
              <w:rPr>
                <w:rFonts w:ascii="Calibri" w:hAnsi="Calibri"/>
                <w:color w:val="2D3748"/>
                <w:sz w:val="18"/>
              </w:rPr>
              <w:t>DO NOT CLAIM universal extraction on handwritten, damaged, or severely corrupted document scans.</w:t>
            </w:r>
          </w:p>
        </w:tc>
      </w:tr>
      <w:tr>
        <w:tc>
          <w:tcPr>
            <w:tcW w:type="dxa" w:w="2592"/>
            <w:shd w:fill="F7FAFC"/>
            <w:tcMar>
              <w:top w:w="100" w:type="dxa"/>
              <w:bottom w:w="100" w:type="dxa"/>
              <w:left w:w="150" w:type="dxa"/>
              <w:right w:w="150" w:type="dxa"/>
            </w:tcMar>
          </w:tcPr>
          <w:p>
            <w:pPr>
              <w:spacing w:before="0" w:after="0"/>
              <w:jc w:val="left"/>
            </w:pPr>
            <w:r>
              <w:rPr>
                <w:rFonts w:ascii="Calibri" w:hAnsi="Calibri"/>
                <w:color w:val="2D3748"/>
                <w:sz w:val="18"/>
              </w:rPr>
              <w:t>Policy QA / RAG</w:t>
            </w:r>
          </w:p>
        </w:tc>
        <w:tc>
          <w:tcPr>
            <w:tcW w:type="dxa" w:w="3456"/>
            <w:shd w:fill="F7FAFC"/>
            <w:tcMar>
              <w:top w:w="100" w:type="dxa"/>
              <w:bottom w:w="100" w:type="dxa"/>
              <w:left w:w="150" w:type="dxa"/>
              <w:right w:w="150" w:type="dxa"/>
            </w:tcMar>
          </w:tcPr>
          <w:p>
            <w:pPr>
              <w:spacing w:before="0" w:after="0"/>
              <w:jc w:val="left"/>
            </w:pPr>
            <w:r>
              <w:rPr>
                <w:rFonts w:ascii="Calibri" w:hAnsi="Calibri"/>
                <w:color w:val="2D3748"/>
                <w:sz w:val="18"/>
              </w:rPr>
              <w:t>100.00% citation correctness (30/30), 100.00% abstention correctness (30/30), and 100.00% grounded answer correctness (30/30).</w:t>
            </w:r>
          </w:p>
        </w:tc>
        <w:tc>
          <w:tcPr>
            <w:tcW w:type="dxa" w:w="3312"/>
            <w:shd w:fill="F7FAFC"/>
            <w:tcMar>
              <w:top w:w="100" w:type="dxa"/>
              <w:bottom w:w="100" w:type="dxa"/>
              <w:left w:w="150" w:type="dxa"/>
              <w:right w:w="150" w:type="dxa"/>
            </w:tcMar>
          </w:tcPr>
          <w:p>
            <w:pPr>
              <w:spacing w:before="0" w:after="0"/>
              <w:jc w:val="left"/>
            </w:pPr>
            <w:r>
              <w:rPr>
                <w:rFonts w:ascii="Calibri" w:hAnsi="Calibri"/>
                <w:color w:val="2D3748"/>
                <w:sz w:val="18"/>
              </w:rPr>
              <w:t>DO NOT CLAIM that the QA system replaces formal legal advice or binding insurer dispute arbitration.</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D3748"/>
                <w:sz w:val="18"/>
              </w:rPr>
              <w:t>End-to-End Pipeline</w:t>
            </w:r>
          </w:p>
        </w:tc>
        <w:tc>
          <w:tcPr>
            <w:tcW w:type="dxa" w:w="3456"/>
            <w:shd w:fill="FFFFFF"/>
            <w:tcMar>
              <w:top w:w="100" w:type="dxa"/>
              <w:bottom w:w="100" w:type="dxa"/>
              <w:left w:w="150" w:type="dxa"/>
              <w:right w:w="150" w:type="dxa"/>
            </w:tcMar>
          </w:tcPr>
          <w:p>
            <w:pPr>
              <w:spacing w:before="0" w:after="0"/>
              <w:jc w:val="left"/>
            </w:pPr>
            <w:r>
              <w:rPr>
                <w:rFonts w:ascii="Calibri" w:hAnsi="Calibri"/>
                <w:color w:val="2D3748"/>
                <w:sz w:val="18"/>
              </w:rPr>
              <w:t>100/100 scenarios correctly handled: 70 completed adjudications + 30 correct safety refusals (100% correct handling rate).</w:t>
            </w:r>
          </w:p>
        </w:tc>
        <w:tc>
          <w:tcPr>
            <w:tcW w:type="dxa" w:w="3312"/>
            <w:shd w:fill="FFFFFF"/>
            <w:tcMar>
              <w:top w:w="100" w:type="dxa"/>
              <w:bottom w:w="100" w:type="dxa"/>
              <w:left w:w="150" w:type="dxa"/>
              <w:right w:w="150" w:type="dxa"/>
            </w:tcMar>
          </w:tcPr>
          <w:p>
            <w:pPr>
              <w:spacing w:before="0" w:after="0"/>
              <w:jc w:val="left"/>
            </w:pPr>
            <w:r>
              <w:rPr>
                <w:rFonts w:ascii="Calibri" w:hAnsi="Calibri"/>
                <w:color w:val="2D3748"/>
                <w:sz w:val="18"/>
              </w:rPr>
              <w:t>DO NOT CLAIM 100% successful claim adjudications across unsupported or out-of-domain clinical requests.</w:t>
            </w:r>
          </w:p>
        </w:tc>
      </w:tr>
      <w:tr>
        <w:tc>
          <w:tcPr>
            <w:tcW w:type="dxa" w:w="2592"/>
            <w:shd w:fill="F7FAFC"/>
            <w:tcMar>
              <w:top w:w="100" w:type="dxa"/>
              <w:bottom w:w="100" w:type="dxa"/>
              <w:left w:w="150" w:type="dxa"/>
              <w:right w:w="150" w:type="dxa"/>
            </w:tcMar>
          </w:tcPr>
          <w:p>
            <w:pPr>
              <w:spacing w:before="0" w:after="0"/>
              <w:jc w:val="left"/>
            </w:pPr>
            <w:r>
              <w:rPr>
                <w:rFonts w:ascii="Calibri" w:hAnsi="Calibri"/>
                <w:color w:val="2D3748"/>
                <w:sz w:val="18"/>
              </w:rPr>
              <w:t>Overall Platform</w:t>
            </w:r>
          </w:p>
        </w:tc>
        <w:tc>
          <w:tcPr>
            <w:tcW w:type="dxa" w:w="3456"/>
            <w:shd w:fill="F7FAFC"/>
            <w:tcMar>
              <w:top w:w="100" w:type="dxa"/>
              <w:bottom w:w="100" w:type="dxa"/>
              <w:left w:w="150" w:type="dxa"/>
              <w:right w:w="150" w:type="dxa"/>
            </w:tcMar>
          </w:tcPr>
          <w:p>
            <w:pPr>
              <w:spacing w:before="0" w:after="0"/>
              <w:jc w:val="left"/>
            </w:pPr>
            <w:r>
              <w:rPr>
                <w:rFonts w:ascii="Calibri" w:hAnsi="Calibri"/>
                <w:color w:val="2D3748"/>
                <w:sz w:val="18"/>
              </w:rPr>
              <w:t>Rigorous multi-tiered architecture with deterministic financial guarantees, safe domain refusal, and zero unit regressions.</w:t>
            </w:r>
          </w:p>
        </w:tc>
        <w:tc>
          <w:tcPr>
            <w:tcW w:type="dxa" w:w="3312"/>
            <w:shd w:fill="F7FAFC"/>
            <w:tcMar>
              <w:top w:w="100" w:type="dxa"/>
              <w:bottom w:w="100" w:type="dxa"/>
              <w:left w:w="150" w:type="dxa"/>
              <w:right w:w="150" w:type="dxa"/>
            </w:tcMar>
          </w:tcPr>
          <w:p>
            <w:pPr>
              <w:spacing w:before="0" w:after="0"/>
              <w:jc w:val="left"/>
            </w:pPr>
            <w:r>
              <w:rPr>
                <w:rFonts w:ascii="Calibri" w:hAnsi="Calibri"/>
                <w:color w:val="2D3748"/>
                <w:sz w:val="18"/>
              </w:rPr>
              <w:t>DO NOT CLAIM a single synthetic 'overall AI accuracy' headline metric.</w:t>
            </w:r>
          </w:p>
        </w:tc>
      </w:tr>
    </w:tbl>
    <w:p>
      <w:pPr>
        <w:spacing w:after="120"/>
      </w:pPr>
    </w:p>
    <w:p>
      <w:pPr>
        <w:spacing w:before="0" w:after="120" w:line="276" w:lineRule="auto"/>
      </w:pPr>
      <w:r>
        <w:rPr>
          <w:rFonts w:ascii="Calibri" w:hAnsi="Calibri"/>
          <w:b/>
          <w:color w:val="1A365D"/>
          <w:sz w:val="21"/>
        </w:rPr>
        <w:t xml:space="preserve">FINAL AUDIT CONCLUSION: </w:t>
      </w:r>
      <w:r>
        <w:rPr>
          <w:rFonts w:ascii="Calibri" w:hAnsi="Calibri"/>
          <w:color w:val="2D3748"/>
          <w:sz w:val="21"/>
        </w:rPr>
        <w:t>Following this consistency and claim-integrity audit, the SehatSure evaluation artifacts and report strictly reflect the empirical evidence without overclaiming, without false denominators, and with clear architectural separation of concerns. The platform meets the highest standards of technical defensibility for health insurance guidance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