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6" w:hRule="atLeast"/>
        </w:trPr>
        <w:tc>
          <w:tcPr>
            <w:tcW w:w="8820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五、数据记录：</w:t>
            </w:r>
          </w:p>
          <w:p>
            <w:pPr>
              <w:rPr>
                <w:rFonts w:hint="eastAsia" w:ascii="仿宋" w:hAnsi="仿宋" w:eastAsia="仿宋" w:cs="仿宋"/>
                <w:sz w:val="24"/>
                <w:u w:val="single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姓名：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康晓沛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 组号：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03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  </w:t>
            </w:r>
          </w:p>
          <w:tbl>
            <w:tblPr>
              <w:tblStyle w:val="5"/>
              <w:tblpPr w:leftFromText="180" w:rightFromText="180" w:vertAnchor="text" w:horzAnchor="page" w:tblpXSpec="center" w:tblpY="108"/>
              <w:tblOverlap w:val="never"/>
              <w:tblW w:w="806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04"/>
              <w:gridCol w:w="1304"/>
              <w:gridCol w:w="122"/>
              <w:gridCol w:w="1304"/>
              <w:gridCol w:w="1304"/>
              <w:gridCol w:w="121"/>
              <w:gridCol w:w="1304"/>
              <w:gridCol w:w="13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2" w:hRule="atLeast"/>
                <w:jc w:val="center"/>
              </w:trPr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U</w:t>
                  </w: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  <w:vertAlign w:val="subscript"/>
                    </w:rPr>
                    <w:t>G2</w:t>
                  </w:r>
                </w:p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(*10V)</w:t>
                  </w: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  <w:t>P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(*10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perscript"/>
                    </w:rPr>
                    <w:t>-8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A)</w:t>
                  </w:r>
                </w:p>
              </w:tc>
              <w:tc>
                <w:tcPr>
                  <w:tcW w:w="122" w:type="dxa"/>
                  <w:vMerge w:val="restart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U</w:t>
                  </w: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  <w:vertAlign w:val="subscript"/>
                    </w:rPr>
                    <w:t>G2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(*10V)</w:t>
                  </w: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  <w:t>P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(*10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perscript"/>
                    </w:rPr>
                    <w:t>-8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A)</w:t>
                  </w:r>
                </w:p>
              </w:tc>
              <w:tc>
                <w:tcPr>
                  <w:tcW w:w="121" w:type="dxa"/>
                  <w:vMerge w:val="restart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U</w:t>
                  </w: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  <w:vertAlign w:val="subscript"/>
                    </w:rPr>
                    <w:t>G2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(*10V)</w:t>
                  </w: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  <w:t>P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(*10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perscript"/>
                    </w:rPr>
                    <w:t>-8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A)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0.89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3.54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3.36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5.63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1.01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0.26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3.59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4.1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5.67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1.15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0.81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3.67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5.25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5.74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2.21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1.28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1.36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3.84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6.93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5.84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4.47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1.82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3.92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7.19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1.62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2.61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7.01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1.75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4.09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6.24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6.17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2.9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4.16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6.32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4.24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4.24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1.99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2.62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4.36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6.46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4.43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1.64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6.52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8.43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2.05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1.38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6.59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2.23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2.07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4.53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1.47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6.64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2.34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2.44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4.57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6.78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2.26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2.88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4.64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2.85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6.83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4.68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3.67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6.88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2.59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4.26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4.73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4.92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7.01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2.73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4.79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6.15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7.07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5.2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4.96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2.94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4.95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5.05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9.59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7.35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3.04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4.3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5.08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9.66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7.47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3.14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9.44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7.48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3.23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2.55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5.25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8.19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7.66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3.29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5.32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6.91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7.71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10.48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3.38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1.9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5.18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2.06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5.46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3.77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2.63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5.58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</w:tr>
          </w:tbl>
          <w:p>
            <w:pPr>
              <w:spacing w:line="360" w:lineRule="auto"/>
              <w:ind w:firstLine="483" w:firstLineChars="23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4" w:hRule="atLeast"/>
        </w:trPr>
        <w:tc>
          <w:tcPr>
            <w:tcW w:w="8820" w:type="dxa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六</w:t>
            </w:r>
            <w:r>
              <w:rPr>
                <w:rFonts w:hint="eastAsia" w:eastAsia="黑体"/>
                <w:sz w:val="24"/>
              </w:rPr>
              <w:t>、</w:t>
            </w:r>
            <w:r>
              <w:rPr>
                <w:rFonts w:hint="eastAsia" w:eastAsia="黑体"/>
                <w:sz w:val="24"/>
                <w:lang w:val="en-US" w:eastAsia="zh-CN"/>
              </w:rPr>
              <w:t>数据处理</w:t>
            </w:r>
            <w:r>
              <w:rPr>
                <w:rFonts w:hint="eastAsia" w:eastAsia="黑体"/>
                <w:sz w:val="24"/>
              </w:rPr>
              <w:t>：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drawing>
                <wp:inline distT="0" distB="0" distL="114300" distR="114300">
                  <wp:extent cx="5243830" cy="3054985"/>
                  <wp:effectExtent l="4445" t="4445" r="9525" b="19050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05F0E"/>
    <w:rsid w:val="1AE05F0E"/>
    <w:rsid w:val="26894B67"/>
    <w:rsid w:val="3177632B"/>
    <w:rsid w:val="3B2C1453"/>
    <w:rsid w:val="75A30711"/>
    <w:rsid w:val="7BDE77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&#23398;&#20064;\&#22823;&#20108;&#19978;\&#22823;&#29289;&#23454;&#39564;\&#23454;&#39564;&#25253;&#21578;\&#24343;&#20848;&#20811;-&#36203;&#20857;&#25968;&#25454;&#22788;&#2970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弗兰克</a:t>
            </a:r>
            <a:r>
              <a:rPr lang="en-US" altLang="zh-CN"/>
              <a:t>-</a:t>
            </a:r>
            <a:r>
              <a:rPr altLang="en-US"/>
              <a:t>赫兹管的</a:t>
            </a:r>
            <a:r>
              <a:rPr lang="en-US" altLang="zh-CN"/>
              <a:t>I</a:t>
            </a:r>
            <a:r>
              <a:rPr lang="en-US" altLang="zh-CN" baseline="-25000"/>
              <a:t>P</a:t>
            </a:r>
            <a:r>
              <a:rPr lang="en-US" altLang="zh-CN"/>
              <a:t>-U</a:t>
            </a:r>
            <a:r>
              <a:rPr lang="en-US" altLang="zh-CN" baseline="-25000"/>
              <a:t>G2</a:t>
            </a:r>
            <a:r>
              <a:rPr altLang="en-US"/>
              <a:t>曲线</a:t>
            </a:r>
            <a:endParaRPr lang="en-US" altLang="zh-CN"/>
          </a:p>
        </c:rich>
      </c:tx>
      <c:layout>
        <c:manualLayout>
          <c:xMode val="edge"/>
          <c:yMode val="edge"/>
          <c:x val="0.314136047070125"/>
          <c:y val="0.034478528087542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'[弗兰克-赫兹数据处理.xls]Sheet1'!$B$1</c:f>
              <c:strCache>
                <c:ptCount val="1"/>
                <c:pt idx="0">
                  <c:v>IP*10-8A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[霍尔效应数据处理.xls]Sheet1!$A$2:$A$79</c:f>
              <c:numCache>
                <c:formatCode>General</c:formatCode>
                <c:ptCount val="78"/>
                <c:pt idx="0">
                  <c:v>0.89</c:v>
                </c:pt>
                <c:pt idx="1">
                  <c:v>1.01</c:v>
                </c:pt>
                <c:pt idx="2">
                  <c:v>1.15</c:v>
                </c:pt>
                <c:pt idx="3">
                  <c:v>1.28</c:v>
                </c:pt>
                <c:pt idx="4">
                  <c:v>1.4</c:v>
                </c:pt>
                <c:pt idx="5">
                  <c:v>1.62</c:v>
                </c:pt>
                <c:pt idx="6">
                  <c:v>1.75</c:v>
                </c:pt>
                <c:pt idx="7">
                  <c:v>1.82</c:v>
                </c:pt>
                <c:pt idx="8">
                  <c:v>1.89</c:v>
                </c:pt>
                <c:pt idx="9">
                  <c:v>1.99</c:v>
                </c:pt>
                <c:pt idx="10">
                  <c:v>2.13</c:v>
                </c:pt>
                <c:pt idx="11">
                  <c:v>2.19</c:v>
                </c:pt>
                <c:pt idx="12">
                  <c:v>2.23</c:v>
                </c:pt>
                <c:pt idx="13">
                  <c:v>2.34</c:v>
                </c:pt>
                <c:pt idx="14">
                  <c:v>2.41</c:v>
                </c:pt>
                <c:pt idx="15">
                  <c:v>2.49</c:v>
                </c:pt>
                <c:pt idx="16">
                  <c:v>2.59</c:v>
                </c:pt>
                <c:pt idx="17">
                  <c:v>2.73</c:v>
                </c:pt>
                <c:pt idx="18">
                  <c:v>2.81</c:v>
                </c:pt>
                <c:pt idx="19">
                  <c:v>2.94</c:v>
                </c:pt>
                <c:pt idx="20">
                  <c:v>3.04</c:v>
                </c:pt>
                <c:pt idx="21">
                  <c:v>3.14</c:v>
                </c:pt>
                <c:pt idx="22">
                  <c:v>3.23</c:v>
                </c:pt>
                <c:pt idx="23">
                  <c:v>3.29</c:v>
                </c:pt>
                <c:pt idx="24">
                  <c:v>3.38</c:v>
                </c:pt>
                <c:pt idx="25">
                  <c:v>3.42</c:v>
                </c:pt>
                <c:pt idx="26">
                  <c:v>3.48</c:v>
                </c:pt>
                <c:pt idx="27">
                  <c:v>3.54</c:v>
                </c:pt>
                <c:pt idx="28">
                  <c:v>3.59</c:v>
                </c:pt>
                <c:pt idx="29">
                  <c:v>3.67</c:v>
                </c:pt>
                <c:pt idx="30">
                  <c:v>3.84</c:v>
                </c:pt>
                <c:pt idx="31">
                  <c:v>3.92</c:v>
                </c:pt>
                <c:pt idx="32">
                  <c:v>4</c:v>
                </c:pt>
                <c:pt idx="33">
                  <c:v>4.09</c:v>
                </c:pt>
                <c:pt idx="34">
                  <c:v>4.16</c:v>
                </c:pt>
                <c:pt idx="35">
                  <c:v>4.24</c:v>
                </c:pt>
                <c:pt idx="36">
                  <c:v>4.36</c:v>
                </c:pt>
                <c:pt idx="37">
                  <c:v>4.43</c:v>
                </c:pt>
                <c:pt idx="38">
                  <c:v>4.5</c:v>
                </c:pt>
                <c:pt idx="39">
                  <c:v>4.53</c:v>
                </c:pt>
                <c:pt idx="40">
                  <c:v>4.57</c:v>
                </c:pt>
                <c:pt idx="41">
                  <c:v>4.64</c:v>
                </c:pt>
                <c:pt idx="42">
                  <c:v>4.68</c:v>
                </c:pt>
                <c:pt idx="43">
                  <c:v>4.73</c:v>
                </c:pt>
                <c:pt idx="44">
                  <c:v>4.79</c:v>
                </c:pt>
                <c:pt idx="45">
                  <c:v>4.96</c:v>
                </c:pt>
                <c:pt idx="46">
                  <c:v>5.05</c:v>
                </c:pt>
                <c:pt idx="47">
                  <c:v>5.08</c:v>
                </c:pt>
                <c:pt idx="48">
                  <c:v>5.14</c:v>
                </c:pt>
                <c:pt idx="49">
                  <c:v>5.25</c:v>
                </c:pt>
                <c:pt idx="50">
                  <c:v>5.32</c:v>
                </c:pt>
                <c:pt idx="51">
                  <c:v>5.4</c:v>
                </c:pt>
                <c:pt idx="52">
                  <c:v>5.46</c:v>
                </c:pt>
                <c:pt idx="53">
                  <c:v>5.58</c:v>
                </c:pt>
                <c:pt idx="54">
                  <c:v>5.63</c:v>
                </c:pt>
                <c:pt idx="55">
                  <c:v>5.67</c:v>
                </c:pt>
                <c:pt idx="56">
                  <c:v>5.74</c:v>
                </c:pt>
                <c:pt idx="57">
                  <c:v>5.84</c:v>
                </c:pt>
                <c:pt idx="58">
                  <c:v>5.9</c:v>
                </c:pt>
                <c:pt idx="59">
                  <c:v>6.1</c:v>
                </c:pt>
                <c:pt idx="60">
                  <c:v>6.17</c:v>
                </c:pt>
                <c:pt idx="61">
                  <c:v>6.32</c:v>
                </c:pt>
                <c:pt idx="62">
                  <c:v>6.4</c:v>
                </c:pt>
                <c:pt idx="63">
                  <c:v>6.46</c:v>
                </c:pt>
                <c:pt idx="64">
                  <c:v>6.52</c:v>
                </c:pt>
                <c:pt idx="65">
                  <c:v>6.59</c:v>
                </c:pt>
                <c:pt idx="66">
                  <c:v>6.64</c:v>
                </c:pt>
                <c:pt idx="67">
                  <c:v>6.78</c:v>
                </c:pt>
                <c:pt idx="68">
                  <c:v>6.83</c:v>
                </c:pt>
                <c:pt idx="69">
                  <c:v>6.88</c:v>
                </c:pt>
                <c:pt idx="70">
                  <c:v>7.01</c:v>
                </c:pt>
                <c:pt idx="71">
                  <c:v>7.07</c:v>
                </c:pt>
                <c:pt idx="72">
                  <c:v>7.2</c:v>
                </c:pt>
                <c:pt idx="73">
                  <c:v>7.35</c:v>
                </c:pt>
                <c:pt idx="74">
                  <c:v>7.47</c:v>
                </c:pt>
                <c:pt idx="75">
                  <c:v>7.48</c:v>
                </c:pt>
                <c:pt idx="76">
                  <c:v>7.66</c:v>
                </c:pt>
                <c:pt idx="77">
                  <c:v>7.71</c:v>
                </c:pt>
              </c:numCache>
            </c:numRef>
          </c:xVal>
          <c:yVal>
            <c:numRef>
              <c:f>[霍尔效应数据处理.xls]Sheet1!$B$2:$B$79</c:f>
              <c:numCache>
                <c:formatCode>General</c:formatCode>
                <c:ptCount val="78"/>
                <c:pt idx="0">
                  <c:v>0</c:v>
                </c:pt>
                <c:pt idx="1">
                  <c:v>0.26</c:v>
                </c:pt>
                <c:pt idx="2">
                  <c:v>0.81</c:v>
                </c:pt>
                <c:pt idx="3">
                  <c:v>1.36</c:v>
                </c:pt>
                <c:pt idx="4">
                  <c:v>1.82</c:v>
                </c:pt>
                <c:pt idx="5">
                  <c:v>2.61</c:v>
                </c:pt>
                <c:pt idx="6">
                  <c:v>2.86</c:v>
                </c:pt>
                <c:pt idx="7">
                  <c:v>2.9</c:v>
                </c:pt>
                <c:pt idx="8">
                  <c:v>2.85</c:v>
                </c:pt>
                <c:pt idx="9">
                  <c:v>2.62</c:v>
                </c:pt>
                <c:pt idx="10">
                  <c:v>2.15</c:v>
                </c:pt>
                <c:pt idx="11">
                  <c:v>2.05</c:v>
                </c:pt>
                <c:pt idx="12">
                  <c:v>2.07</c:v>
                </c:pt>
                <c:pt idx="13">
                  <c:v>2.44</c:v>
                </c:pt>
                <c:pt idx="14">
                  <c:v>2.88</c:v>
                </c:pt>
                <c:pt idx="15">
                  <c:v>3.45</c:v>
                </c:pt>
                <c:pt idx="16">
                  <c:v>4.26</c:v>
                </c:pt>
                <c:pt idx="17">
                  <c:v>5</c:v>
                </c:pt>
                <c:pt idx="18">
                  <c:v>5.2</c:v>
                </c:pt>
                <c:pt idx="19">
                  <c:v>4.95</c:v>
                </c:pt>
                <c:pt idx="20">
                  <c:v>4.3</c:v>
                </c:pt>
                <c:pt idx="21">
                  <c:v>3.4</c:v>
                </c:pt>
                <c:pt idx="22">
                  <c:v>2.55</c:v>
                </c:pt>
                <c:pt idx="23">
                  <c:v>2.1</c:v>
                </c:pt>
                <c:pt idx="24">
                  <c:v>1.9</c:v>
                </c:pt>
                <c:pt idx="25">
                  <c:v>2.06</c:v>
                </c:pt>
                <c:pt idx="26">
                  <c:v>2.63</c:v>
                </c:pt>
                <c:pt idx="27">
                  <c:v>3.36</c:v>
                </c:pt>
                <c:pt idx="28">
                  <c:v>4.1</c:v>
                </c:pt>
                <c:pt idx="29">
                  <c:v>5.25</c:v>
                </c:pt>
                <c:pt idx="30">
                  <c:v>6.93</c:v>
                </c:pt>
                <c:pt idx="31">
                  <c:v>7.19</c:v>
                </c:pt>
                <c:pt idx="32">
                  <c:v>7.01</c:v>
                </c:pt>
                <c:pt idx="33">
                  <c:v>6.24</c:v>
                </c:pt>
                <c:pt idx="34">
                  <c:v>5.4</c:v>
                </c:pt>
                <c:pt idx="35">
                  <c:v>4.24</c:v>
                </c:pt>
                <c:pt idx="36">
                  <c:v>2.49</c:v>
                </c:pt>
                <c:pt idx="37">
                  <c:v>1.64</c:v>
                </c:pt>
                <c:pt idx="38">
                  <c:v>1.38</c:v>
                </c:pt>
                <c:pt idx="39">
                  <c:v>1.47</c:v>
                </c:pt>
                <c:pt idx="40">
                  <c:v>1.86</c:v>
                </c:pt>
                <c:pt idx="41">
                  <c:v>2.85</c:v>
                </c:pt>
                <c:pt idx="42">
                  <c:v>3.67</c:v>
                </c:pt>
                <c:pt idx="43">
                  <c:v>4.92</c:v>
                </c:pt>
                <c:pt idx="44">
                  <c:v>6.15</c:v>
                </c:pt>
                <c:pt idx="45">
                  <c:v>9</c:v>
                </c:pt>
                <c:pt idx="46">
                  <c:v>9.59</c:v>
                </c:pt>
                <c:pt idx="47">
                  <c:v>9.66</c:v>
                </c:pt>
                <c:pt idx="48">
                  <c:v>9.44</c:v>
                </c:pt>
                <c:pt idx="49">
                  <c:v>8.19</c:v>
                </c:pt>
                <c:pt idx="50">
                  <c:v>6.91</c:v>
                </c:pt>
                <c:pt idx="51">
                  <c:v>5.18</c:v>
                </c:pt>
                <c:pt idx="52">
                  <c:v>3.77</c:v>
                </c:pt>
                <c:pt idx="53">
                  <c:v>1.86</c:v>
                </c:pt>
                <c:pt idx="54">
                  <c:v>1.44</c:v>
                </c:pt>
                <c:pt idx="55">
                  <c:v>1.47</c:v>
                </c:pt>
                <c:pt idx="56">
                  <c:v>2.21</c:v>
                </c:pt>
                <c:pt idx="57">
                  <c:v>4.47</c:v>
                </c:pt>
                <c:pt idx="58">
                  <c:v>6.37</c:v>
                </c:pt>
                <c:pt idx="59">
                  <c:v>11.17</c:v>
                </c:pt>
                <c:pt idx="60">
                  <c:v>11.27</c:v>
                </c:pt>
                <c:pt idx="61">
                  <c:v>11.27</c:v>
                </c:pt>
                <c:pt idx="62">
                  <c:v>11.22</c:v>
                </c:pt>
                <c:pt idx="63">
                  <c:v>9.75</c:v>
                </c:pt>
                <c:pt idx="64">
                  <c:v>8.43</c:v>
                </c:pt>
                <c:pt idx="65">
                  <c:v>6.35</c:v>
                </c:pt>
                <c:pt idx="66">
                  <c:v>5.13</c:v>
                </c:pt>
                <c:pt idx="67">
                  <c:v>2.26</c:v>
                </c:pt>
                <c:pt idx="68">
                  <c:v>2.14</c:v>
                </c:pt>
                <c:pt idx="69">
                  <c:v>2.49</c:v>
                </c:pt>
                <c:pt idx="70">
                  <c:v>5.19</c:v>
                </c:pt>
                <c:pt idx="71">
                  <c:v>7.12</c:v>
                </c:pt>
                <c:pt idx="72">
                  <c:v>11.02</c:v>
                </c:pt>
                <c:pt idx="73">
                  <c:v>11.28</c:v>
                </c:pt>
                <c:pt idx="74">
                  <c:v>11.28</c:v>
                </c:pt>
                <c:pt idx="75">
                  <c:v>11.28</c:v>
                </c:pt>
                <c:pt idx="76">
                  <c:v>11.2</c:v>
                </c:pt>
                <c:pt idx="77">
                  <c:v>10.48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276197"/>
        <c:axId val="249736726"/>
      </c:scatterChart>
      <c:valAx>
        <c:axId val="78127619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U</a:t>
                </a:r>
                <a:r>
                  <a:rPr baseline="-25000"/>
                  <a:t>G2</a:t>
                </a:r>
                <a:r>
                  <a:t>*10V</a:t>
                </a:r>
              </a:p>
            </c:rich>
          </c:tx>
          <c:layout>
            <c:manualLayout>
              <c:xMode val="edge"/>
              <c:yMode val="edge"/>
              <c:x val="0.840273775216138"/>
              <c:y val="0.8881273491045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9736726"/>
        <c:crosses val="autoZero"/>
        <c:crossBetween val="midCat"/>
      </c:valAx>
      <c:valAx>
        <c:axId val="24973672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</a:t>
                </a:r>
                <a:r>
                  <a:rPr baseline="-25000"/>
                  <a:t>P</a:t>
                </a:r>
                <a:r>
                  <a:t>*10</a:t>
                </a:r>
                <a:r>
                  <a:rPr baseline="30000"/>
                  <a:t>-8</a:t>
                </a:r>
                <a:r>
                  <a:t>A</a:t>
                </a:r>
              </a:p>
            </c:rich>
          </c:tx>
          <c:layout>
            <c:manualLayout>
              <c:xMode val="edge"/>
              <c:yMode val="edge"/>
              <c:x val="0.0206532180595581"/>
              <c:y val="0.1208711032500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127619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2016-12-12T01:30:00Z</dcterms:created>
  <dc:creator>xiaopei</dc:creator>
  <cp:lastModifiedBy>xiaopei</cp:lastModifiedBy>
  <dcterms:modified xsi:type="dcterms:W3CDTF">2016-12-18T14:46:03Z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