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13A" w:rsidRDefault="0080713A" w:rsidP="0080713A">
      <w:pPr>
        <w:jc w:val="center"/>
        <w:rPr>
          <w:rStyle w:val="a8"/>
        </w:rPr>
      </w:pPr>
      <w:r w:rsidRPr="0080713A">
        <w:rPr>
          <w:rStyle w:val="a8"/>
        </w:rPr>
        <w:t>大数据技术重要性：</w:t>
      </w:r>
    </w:p>
    <w:p w:rsidR="0038600A" w:rsidRDefault="0080713A" w:rsidP="0038600A">
      <w:pPr>
        <w:ind w:firstLineChars="200" w:firstLine="540"/>
        <w:jc w:val="left"/>
        <w:rPr>
          <w:rFonts w:ascii="微软雅黑" w:eastAsia="微软雅黑" w:hAnsi="微软雅黑"/>
          <w:color w:val="000000"/>
          <w:sz w:val="27"/>
          <w:szCs w:val="27"/>
        </w:rPr>
      </w:pPr>
      <w:r>
        <w:rPr>
          <w:rFonts w:ascii="微软雅黑" w:eastAsia="微软雅黑" w:hAnsi="微软雅黑" w:hint="eastAsia"/>
          <w:color w:val="000000"/>
          <w:sz w:val="27"/>
          <w:szCs w:val="27"/>
        </w:rPr>
        <w:t>美国政府将大数据发展提升到国家战略层面。</w:t>
      </w:r>
    </w:p>
    <w:p w:rsidR="0038600A" w:rsidRDefault="0038600A" w:rsidP="0038600A">
      <w:pPr>
        <w:ind w:firstLineChars="200" w:firstLine="540"/>
        <w:jc w:val="left"/>
        <w:rPr>
          <w:rFonts w:ascii="微软雅黑" w:eastAsia="微软雅黑" w:hAnsi="微软雅黑"/>
          <w:color w:val="000000"/>
          <w:sz w:val="27"/>
          <w:szCs w:val="27"/>
        </w:rPr>
      </w:pPr>
      <w:r w:rsidRPr="0038600A">
        <w:rPr>
          <w:rFonts w:ascii="微软雅黑" w:eastAsia="微软雅黑" w:hAnsi="微软雅黑" w:hint="eastAsia"/>
          <w:color w:val="000000"/>
          <w:sz w:val="27"/>
          <w:szCs w:val="27"/>
        </w:rPr>
        <w:t>2014年，美国总统执行办公室发布全球大数据“白皮书”—《大数据：把握机遇，守护价值》。白皮书显示，美国在平衡技术进步与个人数据保护关系中的基本价值取向——对技术进步与经济发展更为关切。</w:t>
      </w:r>
    </w:p>
    <w:p w:rsidR="0038600A" w:rsidRDefault="0038600A" w:rsidP="0038600A">
      <w:pPr>
        <w:ind w:firstLineChars="200" w:firstLine="420"/>
        <w:jc w:val="left"/>
        <w:rPr>
          <w:rFonts w:ascii="微软雅黑" w:eastAsia="微软雅黑" w:hAnsi="微软雅黑"/>
          <w:color w:val="000000"/>
          <w:sz w:val="27"/>
          <w:szCs w:val="27"/>
        </w:rPr>
      </w:pPr>
      <w:r>
        <w:rPr>
          <w:rFonts w:ascii="微软雅黑" w:eastAsia="微软雅黑" w:hAnsi="微软雅黑" w:hint="eastAsia"/>
          <w:color w:val="4D4D4D"/>
          <w:szCs w:val="21"/>
          <w:bdr w:val="none" w:sz="0" w:space="0" w:color="auto" w:frame="1"/>
        </w:rPr>
        <w:t>一直处于世界经济发展及信息技术发展与应用前列的美国，视大数据为“未来的新石油”，给发展大数据赋予了非同一般的战略意义，并积极倡导和实践大数据的应用，已成为全球大数据领域的先行者。</w:t>
      </w:r>
    </w:p>
    <w:p w:rsidR="0010396A" w:rsidRDefault="0080713A" w:rsidP="0038600A">
      <w:pPr>
        <w:ind w:firstLineChars="200" w:firstLine="540"/>
        <w:jc w:val="left"/>
        <w:rPr>
          <w:rFonts w:ascii="微软雅黑" w:eastAsia="微软雅黑" w:hAnsi="微软雅黑"/>
          <w:color w:val="000000"/>
          <w:sz w:val="27"/>
          <w:szCs w:val="27"/>
        </w:rPr>
      </w:pPr>
      <w:r>
        <w:rPr>
          <w:rFonts w:ascii="微软雅黑" w:eastAsia="微软雅黑" w:hAnsi="微软雅黑" w:hint="eastAsia"/>
          <w:color w:val="000000"/>
          <w:sz w:val="27"/>
          <w:szCs w:val="27"/>
        </w:rPr>
        <w:t>2012年3月29日，奥巴马政府宣布启动《大数据研究和发展计划》，同时组建“大数据高级指导小组”，涉及美国国家科学基金、国家卫生研究院、能源部、国防部等6个联邦政府部门，宣布将启动2亿美元的投资计划。这使得美国成为全球首个将大数据从商业行为上升到国家意志和国家战略的国家。不仅如此，美国政府还倡议企业、科研院校和非盈利机构一起集中资源，共同促进大数据发展。例如，伯克利加州大学、迪肯大学等专门开设了研究大数据的相关课程，培养下一代的“数据科学家”。</w:t>
      </w:r>
    </w:p>
    <w:p w:rsidR="0080713A" w:rsidRDefault="0080713A" w:rsidP="0080713A">
      <w:pPr>
        <w:pStyle w:val="a9"/>
        <w:ind w:firstLineChars="200" w:firstLine="540"/>
        <w:rPr>
          <w:rFonts w:ascii="微软雅黑" w:eastAsia="微软雅黑" w:hAnsi="微软雅黑"/>
          <w:color w:val="000000"/>
          <w:sz w:val="27"/>
          <w:szCs w:val="27"/>
        </w:rPr>
      </w:pPr>
      <w:r>
        <w:rPr>
          <w:rFonts w:ascii="微软雅黑" w:eastAsia="微软雅黑" w:hAnsi="微软雅黑" w:hint="eastAsia"/>
          <w:color w:val="000000"/>
          <w:sz w:val="27"/>
          <w:szCs w:val="27"/>
        </w:rPr>
        <w:t>大数据领域的竞争将关系到国家的安全和未来，国家竞争力也将愈发体现为一国拥有数据的规模、活性以及解释、运用的能力。我国要发展好、应用好大数据，应把大数据产业上升到战略高度，强化全民数据意识，树立以数据提高效率、提升精细化和智能化水平的意识，从国家层面推动大数据的收集、分析和应用。</w:t>
      </w:r>
    </w:p>
    <w:p w:rsidR="0080713A" w:rsidRDefault="0080713A" w:rsidP="0080713A">
      <w:pPr>
        <w:pStyle w:val="a9"/>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在波士顿马拉松爆炸案中，美国中情局通过采集移动基站的电话通讯记录，附近商店、加油站、报摊的监控录像以及志愿者提供的图片和影像资料等各种数据，锁定嫌疑犯并找到炸弹来源。如果前不久的长春“3·4”盗车案件中，大数据应用也能达到如此水平，可能婴儿被害的悲剧就可以避免。同样，在近期的四川雅安地震中，微信、微博等社交媒体支撑传递了大量信息，如果能够更快、更准确地从这些信息中筛选出真实信息和重要信息，并加以分类、整合，就能够为抗震救援提供更有效的决策支撑。</w:t>
      </w:r>
    </w:p>
    <w:p w:rsidR="0080713A" w:rsidRDefault="0080713A" w:rsidP="0080713A">
      <w:pPr>
        <w:pStyle w:val="a9"/>
        <w:rPr>
          <w:rFonts w:ascii="微软雅黑" w:eastAsia="微软雅黑" w:hAnsi="微软雅黑"/>
          <w:color w:val="000000"/>
          <w:sz w:val="27"/>
          <w:szCs w:val="27"/>
        </w:rPr>
      </w:pPr>
    </w:p>
    <w:p w:rsidR="0080713A" w:rsidRDefault="0080713A" w:rsidP="0080713A">
      <w:pPr>
        <w:pStyle w:val="a9"/>
        <w:rPr>
          <w:rFonts w:ascii="微软雅黑" w:eastAsia="微软雅黑" w:hAnsi="微软雅黑"/>
          <w:color w:val="000000"/>
          <w:sz w:val="27"/>
          <w:szCs w:val="27"/>
        </w:rPr>
      </w:pPr>
      <w:r>
        <w:rPr>
          <w:rFonts w:ascii="微软雅黑" w:eastAsia="微软雅黑" w:hAnsi="微软雅黑" w:hint="eastAsia"/>
          <w:color w:val="000000"/>
          <w:sz w:val="27"/>
          <w:szCs w:val="27"/>
        </w:rPr>
        <w:t>国情：</w:t>
      </w:r>
    </w:p>
    <w:p w:rsidR="0080713A" w:rsidRDefault="0080713A" w:rsidP="0080713A">
      <w:pPr>
        <w:pStyle w:val="a9"/>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　　与美国一样，我国也有应用大数据的旺盛需求，迫切需要以大数据为工具促进社会进步、加速经济发展、提升人民生活水平。</w:t>
      </w:r>
      <w:r w:rsidR="000425F7" w:rsidRPr="0038600A">
        <w:rPr>
          <w:rFonts w:ascii="微软雅黑" w:eastAsia="微软雅黑" w:hAnsi="微软雅黑"/>
          <w:color w:val="000000"/>
          <w:sz w:val="27"/>
          <w:szCs w:val="27"/>
        </w:rPr>
        <w:t>2020年，突如其来的新冠肺炎疫情，给我国各行各业带来了一定影响。但在抗“疫”过程中，以大数据、人工智能、云计算等为代表的新一代信息技术发挥了重要作用，并激发了新业态、新模式的出现。同时，2020年也是我国顶层设计发力新基建、提速数字基建建设的一年。在此背景下，乘新基建之东风，大数据产业</w:t>
      </w:r>
      <w:r w:rsidR="000425F7" w:rsidRPr="0038600A">
        <w:rPr>
          <w:rFonts w:ascii="微软雅黑" w:eastAsia="微软雅黑" w:hAnsi="微软雅黑" w:hint="eastAsia"/>
          <w:color w:val="000000"/>
          <w:sz w:val="27"/>
          <w:szCs w:val="27"/>
        </w:rPr>
        <w:t>加速发展迫在眉睫。</w:t>
      </w:r>
    </w:p>
    <w:p w:rsidR="000425F7" w:rsidRDefault="0080713A" w:rsidP="000425F7">
      <w:pPr>
        <w:ind w:firstLineChars="200" w:firstLine="540"/>
      </w:pPr>
      <w:r>
        <w:rPr>
          <w:rFonts w:ascii="微软雅黑" w:eastAsia="微软雅黑" w:hAnsi="微软雅黑" w:hint="eastAsia"/>
          <w:color w:val="000000"/>
          <w:sz w:val="27"/>
          <w:szCs w:val="27"/>
        </w:rPr>
        <w:t xml:space="preserve">　</w:t>
      </w:r>
      <w:r w:rsidR="000425F7">
        <w:rPr>
          <w:noProof/>
        </w:rPr>
        <w:drawing>
          <wp:inline distT="0" distB="0" distL="0" distR="0" wp14:anchorId="15659183" wp14:editId="748C15FE">
            <wp:extent cx="5274310" cy="3505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0520"/>
                    </a:xfrm>
                    <a:prstGeom prst="rect">
                      <a:avLst/>
                    </a:prstGeom>
                  </pic:spPr>
                </pic:pic>
              </a:graphicData>
            </a:graphic>
          </wp:inline>
        </w:drawing>
      </w:r>
    </w:p>
    <w:p w:rsidR="000425F7" w:rsidRDefault="000425F7" w:rsidP="000425F7">
      <w:pPr>
        <w:ind w:firstLineChars="200" w:firstLine="420"/>
      </w:pPr>
      <w:r>
        <w:rPr>
          <w:noProof/>
        </w:rPr>
        <w:drawing>
          <wp:inline distT="0" distB="0" distL="0" distR="0" wp14:anchorId="3D34B573" wp14:editId="2A21C024">
            <wp:extent cx="5274310" cy="3479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7980"/>
                    </a:xfrm>
                    <a:prstGeom prst="rect">
                      <a:avLst/>
                    </a:prstGeom>
                  </pic:spPr>
                </pic:pic>
              </a:graphicData>
            </a:graphic>
          </wp:inline>
        </w:drawing>
      </w:r>
    </w:p>
    <w:p w:rsidR="000425F7" w:rsidRDefault="000425F7" w:rsidP="000425F7">
      <w:pPr>
        <w:ind w:firstLineChars="200" w:firstLine="420"/>
      </w:pPr>
      <w:r>
        <w:rPr>
          <w:noProof/>
        </w:rPr>
        <w:lastRenderedPageBreak/>
        <w:drawing>
          <wp:inline distT="0" distB="0" distL="0" distR="0" wp14:anchorId="6BD4E3DE" wp14:editId="61369DBA">
            <wp:extent cx="5274310" cy="3378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7820"/>
                    </a:xfrm>
                    <a:prstGeom prst="rect">
                      <a:avLst/>
                    </a:prstGeom>
                  </pic:spPr>
                </pic:pic>
              </a:graphicData>
            </a:graphic>
          </wp:inline>
        </w:drawing>
      </w:r>
    </w:p>
    <w:p w:rsidR="000425F7" w:rsidRDefault="000425F7" w:rsidP="000425F7">
      <w:pPr>
        <w:ind w:firstLineChars="200" w:firstLine="420"/>
      </w:pPr>
      <w:r>
        <w:rPr>
          <w:noProof/>
        </w:rPr>
        <w:drawing>
          <wp:inline distT="0" distB="0" distL="0" distR="0" wp14:anchorId="074DDFEF" wp14:editId="519494DC">
            <wp:extent cx="5274310" cy="3505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0520"/>
                    </a:xfrm>
                    <a:prstGeom prst="rect">
                      <a:avLst/>
                    </a:prstGeom>
                  </pic:spPr>
                </pic:pic>
              </a:graphicData>
            </a:graphic>
          </wp:inline>
        </w:drawing>
      </w:r>
    </w:p>
    <w:p w:rsidR="000425F7" w:rsidRDefault="000425F7" w:rsidP="000425F7">
      <w:pPr>
        <w:ind w:firstLineChars="200" w:firstLine="420"/>
      </w:pPr>
      <w:r>
        <w:rPr>
          <w:noProof/>
        </w:rPr>
        <w:drawing>
          <wp:inline distT="0" distB="0" distL="0" distR="0" wp14:anchorId="4C1FAF3C" wp14:editId="76927F8A">
            <wp:extent cx="5274310" cy="9163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16305"/>
                    </a:xfrm>
                    <a:prstGeom prst="rect">
                      <a:avLst/>
                    </a:prstGeom>
                  </pic:spPr>
                </pic:pic>
              </a:graphicData>
            </a:graphic>
          </wp:inline>
        </w:drawing>
      </w:r>
    </w:p>
    <w:p w:rsidR="000425F7" w:rsidRDefault="007A13FD" w:rsidP="000425F7">
      <w:pPr>
        <w:ind w:firstLineChars="200" w:firstLine="572"/>
      </w:pPr>
      <w:r>
        <w:rPr>
          <w:rFonts w:ascii="Helvetica" w:hAnsi="Helvetica"/>
          <w:color w:val="2D2D2D"/>
          <w:spacing w:val="8"/>
          <w:sz w:val="27"/>
          <w:szCs w:val="27"/>
        </w:rPr>
        <w:t>当前，我国正在加速从数据大国向着数据强国迈进。随着中国物联网等新技术的持续推进，到</w:t>
      </w:r>
      <w:r>
        <w:rPr>
          <w:rFonts w:ascii="Helvetica" w:hAnsi="Helvetica"/>
          <w:color w:val="2D2D2D"/>
          <w:spacing w:val="8"/>
          <w:sz w:val="27"/>
          <w:szCs w:val="27"/>
        </w:rPr>
        <w:t>2025</w:t>
      </w:r>
      <w:r>
        <w:rPr>
          <w:rFonts w:ascii="Helvetica" w:hAnsi="Helvetica"/>
          <w:color w:val="2D2D2D"/>
          <w:spacing w:val="8"/>
          <w:sz w:val="27"/>
          <w:szCs w:val="27"/>
        </w:rPr>
        <w:t>年，其产生的数据将超过美国。数据的快速产生和各项配套政策的落实推动我国大数据行业高速发展，预计未来我国行业大数据市场规模增速将维持在</w:t>
      </w:r>
      <w:r>
        <w:rPr>
          <w:rFonts w:ascii="Helvetica" w:hAnsi="Helvetica"/>
          <w:color w:val="2D2D2D"/>
          <w:spacing w:val="8"/>
          <w:sz w:val="27"/>
          <w:szCs w:val="27"/>
        </w:rPr>
        <w:t>15%-25%</w:t>
      </w:r>
      <w:r>
        <w:rPr>
          <w:rFonts w:ascii="Helvetica" w:hAnsi="Helvetica"/>
          <w:color w:val="2D2D2D"/>
          <w:spacing w:val="8"/>
          <w:sz w:val="27"/>
          <w:szCs w:val="27"/>
        </w:rPr>
        <w:t>之间，到</w:t>
      </w:r>
      <w:r>
        <w:rPr>
          <w:rFonts w:ascii="Helvetica" w:hAnsi="Helvetica"/>
          <w:color w:val="2D2D2D"/>
          <w:spacing w:val="8"/>
          <w:sz w:val="27"/>
          <w:szCs w:val="27"/>
        </w:rPr>
        <w:t>2025</w:t>
      </w:r>
      <w:r>
        <w:rPr>
          <w:rFonts w:ascii="Helvetica" w:hAnsi="Helvetica"/>
          <w:color w:val="2D2D2D"/>
          <w:spacing w:val="8"/>
          <w:sz w:val="27"/>
          <w:szCs w:val="27"/>
        </w:rPr>
        <w:t>年中国大数据产业规模将达</w:t>
      </w:r>
      <w:r>
        <w:rPr>
          <w:rFonts w:ascii="Helvetica" w:hAnsi="Helvetica"/>
          <w:color w:val="2D2D2D"/>
          <w:spacing w:val="8"/>
          <w:sz w:val="27"/>
          <w:szCs w:val="27"/>
        </w:rPr>
        <w:t>19508</w:t>
      </w:r>
      <w:r>
        <w:rPr>
          <w:rFonts w:ascii="Helvetica" w:hAnsi="Helvetica"/>
          <w:color w:val="2D2D2D"/>
          <w:spacing w:val="8"/>
          <w:sz w:val="27"/>
          <w:szCs w:val="27"/>
        </w:rPr>
        <w:t>亿元的高点。</w:t>
      </w:r>
      <w:bookmarkStart w:id="0" w:name="_GoBack"/>
      <w:bookmarkEnd w:id="0"/>
    </w:p>
    <w:p w:rsidR="0080713A" w:rsidRDefault="0080713A" w:rsidP="0080713A">
      <w:pPr>
        <w:pStyle w:val="a9"/>
        <w:rPr>
          <w:rFonts w:ascii="微软雅黑" w:eastAsia="微软雅黑" w:hAnsi="微软雅黑"/>
          <w:color w:val="000000"/>
          <w:sz w:val="27"/>
          <w:szCs w:val="27"/>
        </w:rPr>
      </w:pPr>
    </w:p>
    <w:p w:rsidR="0080713A" w:rsidRDefault="0038600A" w:rsidP="0038600A">
      <w:pPr>
        <w:pStyle w:val="ab"/>
        <w:jc w:val="left"/>
      </w:pPr>
      <w:r>
        <w:rPr>
          <w:rFonts w:hint="eastAsia"/>
        </w:rPr>
        <w:t>立法：</w:t>
      </w:r>
    </w:p>
    <w:p w:rsidR="0038600A" w:rsidRDefault="0038600A" w:rsidP="0038600A">
      <w:pPr>
        <w:ind w:firstLineChars="200" w:firstLine="420"/>
        <w:rPr>
          <w:color w:val="26214A"/>
          <w:shd w:val="clear" w:color="auto" w:fill="F8F8F8"/>
        </w:rPr>
      </w:pPr>
      <w:r>
        <w:tab/>
      </w:r>
      <w:r>
        <w:rPr>
          <w:rFonts w:hint="eastAsia"/>
          <w:color w:val="26214A"/>
          <w:shd w:val="clear" w:color="auto" w:fill="F8F8F8"/>
        </w:rPr>
        <w:t>对个人数据直接保护的立法包括《刑法》、《侵权责任法》、《互联网信息服务管理办法》、《关于加强网络信息保护的决定》等，对个人数据间接保护的立法包括《宪法》、《民法通则》等。此外，还包括一些针对特殊领域与特殊主体的法律和法规，如《未成年人保护法》、《妇女权益保护法》、《执业医师法》、《转染病防治法》等</w:t>
      </w:r>
    </w:p>
    <w:p w:rsidR="0038600A" w:rsidRDefault="0038600A" w:rsidP="0038600A">
      <w:pPr>
        <w:pStyle w:val="a9"/>
        <w:numPr>
          <w:ilvl w:val="0"/>
          <w:numId w:val="1"/>
        </w:numPr>
        <w:shd w:val="clear" w:color="auto" w:fill="F8F8F8"/>
        <w:spacing w:before="150" w:beforeAutospacing="0" w:after="150" w:afterAutospacing="0" w:line="450" w:lineRule="atLeast"/>
        <w:rPr>
          <w:color w:val="26214A"/>
        </w:rPr>
      </w:pPr>
      <w:r>
        <w:rPr>
          <w:rFonts w:hint="eastAsia"/>
          <w:color w:val="26214A"/>
        </w:rPr>
        <w:t>确立适合国情的“综合保护”立法模式</w:t>
      </w:r>
    </w:p>
    <w:p w:rsidR="0038600A" w:rsidRDefault="0038600A" w:rsidP="0038600A">
      <w:pPr>
        <w:pStyle w:val="a9"/>
        <w:shd w:val="clear" w:color="auto" w:fill="F8F8F8"/>
        <w:spacing w:before="150" w:beforeAutospacing="0" w:after="150" w:afterAutospacing="0" w:line="450" w:lineRule="atLeast"/>
        <w:ind w:left="480"/>
        <w:rPr>
          <w:color w:val="26214A"/>
        </w:rPr>
      </w:pPr>
      <w:r>
        <w:rPr>
          <w:rFonts w:hint="eastAsia"/>
        </w:rPr>
        <w:t>欧</w:t>
      </w:r>
      <w:r>
        <w:rPr>
          <w:rFonts w:hint="eastAsia"/>
          <w:color w:val="26214A"/>
          <w:shd w:val="clear" w:color="auto" w:fill="F8F8F8"/>
        </w:rPr>
        <w:t>盟于2012年提出了《欧洲议会和理事会关于个人数据处理中个人权利保护及促进个人数据自由流通条例草案》，欧盟统一立法模式可为我国提供有益借鉴，应鼓励和引导行业自律。</w:t>
      </w:r>
    </w:p>
    <w:p w:rsidR="0038600A" w:rsidRDefault="0038600A" w:rsidP="0038600A">
      <w:pPr>
        <w:pStyle w:val="a9"/>
        <w:shd w:val="clear" w:color="auto" w:fill="F8F8F8"/>
        <w:spacing w:before="150" w:beforeAutospacing="0" w:after="150" w:afterAutospacing="0" w:line="450" w:lineRule="atLeast"/>
        <w:ind w:firstLine="480"/>
        <w:rPr>
          <w:color w:val="26214A"/>
        </w:rPr>
      </w:pPr>
      <w:r>
        <w:rPr>
          <w:rFonts w:hint="eastAsia"/>
          <w:color w:val="26214A"/>
        </w:rPr>
        <w:t>（2）明确基本的个人数据权利</w:t>
      </w:r>
    </w:p>
    <w:p w:rsidR="0038600A" w:rsidRDefault="0038600A" w:rsidP="0038600A">
      <w:pPr>
        <w:pStyle w:val="a9"/>
        <w:shd w:val="clear" w:color="auto" w:fill="F8F8F8"/>
        <w:spacing w:before="150" w:beforeAutospacing="0" w:after="150" w:afterAutospacing="0" w:line="450" w:lineRule="atLeast"/>
        <w:ind w:firstLine="480"/>
        <w:rPr>
          <w:color w:val="26214A"/>
        </w:rPr>
      </w:pPr>
      <w:r>
        <w:rPr>
          <w:rFonts w:hint="eastAsia"/>
          <w:color w:val="26214A"/>
        </w:rPr>
        <w:t>个人数据权利与隐私权是经常容易被混淆的概念，但两者仍有者明显区别：个人数据权利的建立具有高度的技术特征，规定的是如何收集与处理个人数据的规则，兼具人身权与财产权的属性；</w:t>
      </w:r>
    </w:p>
    <w:p w:rsidR="0038600A" w:rsidRDefault="0038600A" w:rsidP="0038600A">
      <w:pPr>
        <w:pStyle w:val="a9"/>
        <w:shd w:val="clear" w:color="auto" w:fill="F8F8F8"/>
        <w:spacing w:before="150" w:beforeAutospacing="0" w:after="150" w:afterAutospacing="0" w:line="450" w:lineRule="atLeast"/>
        <w:ind w:firstLine="480"/>
        <w:rPr>
          <w:color w:val="26214A"/>
        </w:rPr>
      </w:pPr>
      <w:r>
        <w:rPr>
          <w:rFonts w:hint="eastAsia"/>
          <w:color w:val="26214A"/>
        </w:rPr>
        <w:lastRenderedPageBreak/>
        <w:t>因此我国在数据保护立法中应单独规定个人数据权利，一般包括同意权、获取权、知悉权、删除、修改、补充权。</w:t>
      </w:r>
    </w:p>
    <w:p w:rsidR="0038600A" w:rsidRPr="0038600A" w:rsidRDefault="0038600A" w:rsidP="0038600A">
      <w:pPr>
        <w:pStyle w:val="a9"/>
        <w:shd w:val="clear" w:color="auto" w:fill="F8F8F8"/>
        <w:spacing w:before="150" w:beforeAutospacing="0" w:after="150" w:afterAutospacing="0" w:line="450" w:lineRule="atLeast"/>
        <w:ind w:firstLine="480"/>
        <w:rPr>
          <w:color w:val="26214A"/>
        </w:rPr>
      </w:pPr>
    </w:p>
    <w:p w:rsidR="0038600A" w:rsidRDefault="0038600A" w:rsidP="0038600A">
      <w:pPr>
        <w:pStyle w:val="a9"/>
        <w:shd w:val="clear" w:color="auto" w:fill="F8F8F8"/>
        <w:spacing w:before="150" w:beforeAutospacing="0" w:after="150" w:afterAutospacing="0" w:line="450" w:lineRule="atLeast"/>
        <w:ind w:firstLine="480"/>
        <w:rPr>
          <w:color w:val="26214A"/>
        </w:rPr>
      </w:pPr>
      <w:r>
        <w:rPr>
          <w:rFonts w:hint="eastAsia"/>
          <w:color w:val="26214A"/>
        </w:rPr>
        <w:t>（3）明确数据控制者的核心义务与责任，增强风险防御能力</w:t>
      </w:r>
    </w:p>
    <w:p w:rsidR="0038600A" w:rsidRDefault="0038600A" w:rsidP="0038600A">
      <w:pPr>
        <w:pStyle w:val="a9"/>
        <w:shd w:val="clear" w:color="auto" w:fill="F8F8F8"/>
        <w:spacing w:before="150" w:beforeAutospacing="0" w:after="150" w:afterAutospacing="0" w:line="450" w:lineRule="atLeast"/>
        <w:ind w:firstLine="480"/>
        <w:rPr>
          <w:color w:val="26214A"/>
        </w:rPr>
      </w:pPr>
      <w:r>
        <w:rPr>
          <w:rFonts w:hint="eastAsia"/>
          <w:color w:val="26214A"/>
        </w:rPr>
        <w:t>可在立法中设立激励机制，鼓励公私机构就拟建的数据处理系统或任何新的大数据项目进行数据安全影响评估，并定期向社会公布这些评估报告。另外，可鼓励高新技术企业将隐私强化技术应用至企业数据处理系统及产品的设计之中，增强企业对数据安全风险的防御能力。</w:t>
      </w:r>
    </w:p>
    <w:p w:rsidR="0038600A" w:rsidRPr="0038600A" w:rsidRDefault="0038600A" w:rsidP="0038600A">
      <w:pPr>
        <w:pStyle w:val="a9"/>
        <w:shd w:val="clear" w:color="auto" w:fill="F8F8F8"/>
        <w:spacing w:before="150" w:beforeAutospacing="0" w:after="150" w:afterAutospacing="0" w:line="450" w:lineRule="atLeast"/>
        <w:ind w:firstLine="480"/>
        <w:rPr>
          <w:color w:val="26214A"/>
        </w:rPr>
      </w:pPr>
    </w:p>
    <w:p w:rsidR="0038600A" w:rsidRDefault="0038600A" w:rsidP="0038600A">
      <w:pPr>
        <w:pStyle w:val="a9"/>
        <w:shd w:val="clear" w:color="auto" w:fill="F8F8F8"/>
        <w:spacing w:before="150" w:beforeAutospacing="0" w:after="150" w:afterAutospacing="0" w:line="450" w:lineRule="atLeast"/>
        <w:ind w:firstLine="480"/>
        <w:rPr>
          <w:color w:val="26214A"/>
        </w:rPr>
      </w:pPr>
      <w:r>
        <w:rPr>
          <w:rFonts w:hint="eastAsia"/>
          <w:color w:val="26214A"/>
        </w:rPr>
        <w:t>4）完善“通知—同意”法律规则</w:t>
      </w:r>
    </w:p>
    <w:p w:rsidR="0038600A" w:rsidRPr="0038600A" w:rsidRDefault="0038600A" w:rsidP="0038600A">
      <w:r>
        <w:rPr>
          <w:rFonts w:hint="eastAsia"/>
          <w:color w:val="26214A"/>
        </w:rPr>
        <w:t>大数据背景下的“通知—同意”法律规则难以发挥应有的功效。为应对此难题，欧盟的做法是明确数据主体的“同意”应为“积极同意”，这有利于保护个人数据权利，</w:t>
      </w:r>
    </w:p>
    <w:sectPr w:rsidR="0038600A" w:rsidRPr="003860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931" w:rsidRDefault="00D37931" w:rsidP="0080713A">
      <w:r>
        <w:separator/>
      </w:r>
    </w:p>
  </w:endnote>
  <w:endnote w:type="continuationSeparator" w:id="0">
    <w:p w:rsidR="00D37931" w:rsidRDefault="00D37931" w:rsidP="00807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931" w:rsidRDefault="00D37931" w:rsidP="0080713A">
      <w:r>
        <w:separator/>
      </w:r>
    </w:p>
  </w:footnote>
  <w:footnote w:type="continuationSeparator" w:id="0">
    <w:p w:rsidR="00D37931" w:rsidRDefault="00D37931" w:rsidP="008071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92D90"/>
    <w:multiLevelType w:val="hybridMultilevel"/>
    <w:tmpl w:val="A04AABFC"/>
    <w:lvl w:ilvl="0" w:tplc="63F2CDB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C23"/>
    <w:rsid w:val="000425F7"/>
    <w:rsid w:val="00166D79"/>
    <w:rsid w:val="00213932"/>
    <w:rsid w:val="00246409"/>
    <w:rsid w:val="0038600A"/>
    <w:rsid w:val="00784C23"/>
    <w:rsid w:val="007A13FD"/>
    <w:rsid w:val="0080713A"/>
    <w:rsid w:val="00B26EE3"/>
    <w:rsid w:val="00D37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F7BB1A-8830-4B0B-B7A3-594617F5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71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713A"/>
    <w:rPr>
      <w:sz w:val="18"/>
      <w:szCs w:val="18"/>
    </w:rPr>
  </w:style>
  <w:style w:type="paragraph" w:styleId="a5">
    <w:name w:val="footer"/>
    <w:basedOn w:val="a"/>
    <w:link w:val="a6"/>
    <w:uiPriority w:val="99"/>
    <w:unhideWhenUsed/>
    <w:rsid w:val="0080713A"/>
    <w:pPr>
      <w:tabs>
        <w:tab w:val="center" w:pos="4153"/>
        <w:tab w:val="right" w:pos="8306"/>
      </w:tabs>
      <w:snapToGrid w:val="0"/>
      <w:jc w:val="left"/>
    </w:pPr>
    <w:rPr>
      <w:sz w:val="18"/>
      <w:szCs w:val="18"/>
    </w:rPr>
  </w:style>
  <w:style w:type="character" w:customStyle="1" w:styleId="a6">
    <w:name w:val="页脚 字符"/>
    <w:basedOn w:val="a0"/>
    <w:link w:val="a5"/>
    <w:uiPriority w:val="99"/>
    <w:rsid w:val="0080713A"/>
    <w:rPr>
      <w:sz w:val="18"/>
      <w:szCs w:val="18"/>
    </w:rPr>
  </w:style>
  <w:style w:type="paragraph" w:styleId="a7">
    <w:name w:val="Subtitle"/>
    <w:basedOn w:val="a"/>
    <w:next w:val="a"/>
    <w:link w:val="a8"/>
    <w:uiPriority w:val="11"/>
    <w:qFormat/>
    <w:rsid w:val="0080713A"/>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80713A"/>
    <w:rPr>
      <w:b/>
      <w:bCs/>
      <w:kern w:val="28"/>
      <w:sz w:val="32"/>
      <w:szCs w:val="32"/>
    </w:rPr>
  </w:style>
  <w:style w:type="paragraph" w:styleId="a9">
    <w:name w:val="Normal (Web)"/>
    <w:basedOn w:val="a"/>
    <w:uiPriority w:val="99"/>
    <w:unhideWhenUsed/>
    <w:rsid w:val="0080713A"/>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80713A"/>
    <w:rPr>
      <w:b/>
      <w:bCs/>
    </w:rPr>
  </w:style>
  <w:style w:type="paragraph" w:styleId="ab">
    <w:name w:val="Title"/>
    <w:basedOn w:val="a"/>
    <w:next w:val="a"/>
    <w:link w:val="ac"/>
    <w:uiPriority w:val="10"/>
    <w:qFormat/>
    <w:rsid w:val="0038600A"/>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38600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723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1144097453@qq.com</dc:creator>
  <cp:keywords/>
  <dc:description/>
  <cp:lastModifiedBy>1144097453@qq.com</cp:lastModifiedBy>
  <cp:revision>5</cp:revision>
  <dcterms:created xsi:type="dcterms:W3CDTF">2021-03-30T13:17:00Z</dcterms:created>
  <dcterms:modified xsi:type="dcterms:W3CDTF">2021-03-30T13:57:00Z</dcterms:modified>
</cp:coreProperties>
</file>