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ahkdxm"/>
        <w:numPr/>
        <w:pBdr/>
        <w:jc w:val="left"/>
        <w:rPr/>
      </w:pPr>
      <w:r>
        <w:rPr/>
        <w:t>医疗电子</w:t>
      </w:r>
    </w:p>
    <w:p>
      <w:pPr>
        <w:pBdr>
          <w:bottom/>
        </w:pBdr>
        <w:snapToGrid/>
        <w:spacing w:before="0" w:after="0" w:line="240"/>
        <w:ind w:left="0" w:right="0"/>
        <w:jc w:val="both"/>
        <w:rPr/>
      </w:pPr>
      <w:r>
        <w:rPr>
          <w:rFonts w:ascii="等线" w:hAnsi="等线" w:eastAsia="等线" w:cs="等线"/>
          <w:b/>
          <w:i w:val="false"/>
          <w:strike w:val="false"/>
          <w:color w:val="000000"/>
          <w:sz w:val="21"/>
          <w:u w:val="none"/>
        </w:rPr>
        <w:t>Sensory transduction感觉传导</w:t>
      </w:r>
      <w:r>
        <w:rPr>
          <w:rFonts w:ascii="等线" w:hAnsi="等线" w:eastAsia="等线" w:cs="等线"/>
          <w:i w:val="false"/>
          <w:strike w:val="false"/>
          <w:color w:val="000000"/>
          <w:sz w:val="21"/>
          <w:u w:val="none"/>
        </w:rPr>
        <w:t>。Sensory transduction：Mechanoreceptors (pressure)、Thermoreceptors (temperature)、Chemoreceptors (chemicals)、Photoreceptor (light)、Nociceptors (pain)。动作电位发生在几种类型的动物细胞中，称为可兴奋细胞，包括神经元、肌肉细胞和内分泌细胞。动作电位涉及嵌入细胞膜的电压门控钠通道和钾通道。当膜电位接近细胞的静息膜电位时，这些离子通道关闭，但如果膜电位增加到精确定义的阈值电位，它们就会迅速开始打开。</w:t>
      </w:r>
      <w:r>
        <w:rPr>
          <w:rFonts w:ascii="等线" w:hAnsi="等线" w:eastAsia="等线" w:cs="等线"/>
          <w:b/>
          <w:i w:val="false"/>
          <w:strike w:val="false"/>
          <w:color w:val="000000"/>
          <w:sz w:val="21"/>
          <w:u w:val="none"/>
        </w:rPr>
        <w:t>Depolarization</w:t>
      </w:r>
      <w:r>
        <w:rPr>
          <w:rFonts w:ascii="等线" w:hAnsi="等线" w:eastAsia="等线" w:cs="等线"/>
          <w:i w:val="false"/>
          <w:strike w:val="false"/>
          <w:color w:val="000000"/>
          <w:sz w:val="21"/>
          <w:u w:val="none"/>
        </w:rPr>
        <w:t>去极化：当电压门控钠通道打开（响应去极化或超极化）时，它们允许钠离子向内流动，这会改变电化学梯度并导致更多通道打开，从而增加膜电位并在整个通道产生更大的电流。细胞膜等。该过程爆炸性地进行，直到所有可用的电压门控钠通道打开，导致动作电位的大峰值。钠离子的快速流入使细胞去极化，导致钠通道不活跃（关闭）。</w:t>
      </w:r>
      <w:r>
        <w:rPr>
          <w:rFonts w:ascii="等线" w:hAnsi="等线" w:eastAsia="等线" w:cs="等线"/>
          <w:b/>
          <w:i w:val="false"/>
          <w:strike w:val="false"/>
          <w:color w:val="000000"/>
          <w:sz w:val="21"/>
          <w:u w:val="none"/>
        </w:rPr>
        <w:t>Repolarization</w:t>
      </w:r>
      <w:r>
        <w:rPr>
          <w:rFonts w:ascii="等线" w:hAnsi="等线" w:eastAsia="等线" w:cs="等线"/>
          <w:i w:val="false"/>
          <w:strike w:val="false"/>
          <w:color w:val="000000"/>
          <w:sz w:val="21"/>
          <w:u w:val="none"/>
        </w:rPr>
        <w:t>复极化：当电压门控钠通道关闭时，不再有钠离子进入神经元并被主动运回细胞外。然后</w:t>
      </w:r>
      <w:r>
        <w:rPr>
          <w:rFonts w:ascii="等线" w:hAnsi="等线" w:eastAsia="等线" w:cs="等线"/>
          <w:b/>
          <w:i w:val="false"/>
          <w:strike w:val="false"/>
          <w:color w:val="000000"/>
          <w:sz w:val="21"/>
          <w:u w:val="none"/>
        </w:rPr>
        <w:t>电压门控钾通道</w:t>
      </w:r>
      <w:r>
        <w:rPr>
          <w:rFonts w:ascii="等线" w:hAnsi="等线" w:eastAsia="等线" w:cs="等线"/>
          <w:i w:val="false"/>
          <w:strike w:val="false"/>
          <w:color w:val="000000"/>
          <w:sz w:val="21"/>
          <w:u w:val="none"/>
        </w:rPr>
        <w:t>被激活，并且在复极化步骤期间钾离子向外流动，使电化学梯度返回到静止状态。</w:t>
      </w:r>
      <w:r>
        <w:rPr>
          <w:rFonts w:ascii="等线" w:hAnsi="等线" w:eastAsia="等线" w:cs="等线"/>
          <w:b/>
          <w:i w:val="false"/>
          <w:strike w:val="false"/>
          <w:color w:val="000000"/>
          <w:sz w:val="21"/>
          <w:u w:val="none"/>
        </w:rPr>
        <w:t>Hyperpolarization超极化</w:t>
      </w:r>
      <w:r>
        <w:rPr>
          <w:rFonts w:ascii="等线" w:hAnsi="等线" w:eastAsia="等线" w:cs="等线"/>
          <w:i w:val="false"/>
          <w:strike w:val="false"/>
          <w:color w:val="000000"/>
          <w:sz w:val="21"/>
          <w:u w:val="none"/>
        </w:rPr>
        <w:t>：动作电位发生后，由于额外的钾离子离开神经元，会出现短暂的负向变化，称为超极化。整个过程如图 1 所示。</w:t>
      </w:r>
      <w:r>
        <w:rPr>
          <w:rFonts w:ascii="等线" w:hAnsi="等线" w:eastAsia="等线" w:cs="等线"/>
          <w:i w:val="false"/>
          <w:strike w:val="false"/>
          <w:color w:val="000000"/>
          <w:sz w:val="21"/>
          <w:u w:val="none"/>
        </w:rPr>
        <w:drawing>
          <wp:inline distT="0" distB="0" distL="0" distR="0">
            <wp:extent cx="2105025" cy="220980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rcRect/>
                    <a:stretch/>
                  </pic:blipFill>
                  <pic:spPr>
                    <a:xfrm>
                      <a:off x="0" y="0"/>
                      <a:ext cx="2105025" cy="2209800"/>
                    </a:xfrm>
                    <a:prstGeom prst="rect">
                      <a:avLst/>
                    </a:prstGeom>
                  </pic:spPr>
                </pic:pic>
              </a:graphicData>
            </a:graphic>
          </wp:inline>
        </w:drawing>
      </w:r>
    </w:p>
    <w:p>
      <w:pPr>
        <w:pStyle w:val="ms6luu"/>
        <w:rPr/>
      </w:pPr>
      <w:r>
        <w:rPr/>
        <w:t>立方：</w:t>
      </w:r>
    </w:p>
    <w:p>
      <w:pPr>
        <w:numPr/>
        <w:pBdr/>
        <w:rPr>
          <w:b/>
          <w:i w:val="false"/>
          <w:strike w:val="false"/>
          <w:spacing w:val="0"/>
          <w:u w:val="none"/>
        </w:rPr>
      </w:pPr>
      <w:r>
        <w:rPr>
          <w:b/>
          <w:i w:val="false"/>
          <w:strike w:val="false"/>
          <w:spacing w:val="0"/>
          <w:u w:val="none"/>
        </w:rPr>
        <w:t>action potential动作电位：</w:t>
      </w:r>
    </w:p>
    <w:p>
      <w:pPr>
        <w:numPr/>
        <w:pBdr>
          <w:bottom/>
        </w:pBdr>
        <w:rPr>
          <w:i w:val="false"/>
          <w:strike w:val="false"/>
          <w:spacing w:val="0"/>
          <w:u w:val="none"/>
        </w:rPr>
      </w:pPr>
      <w:r>
        <w:rPr>
          <w:i w:val="false"/>
          <w:strike w:val="false"/>
          <w:spacing w:val="0"/>
          <w:u w:val="none"/>
        </w:rPr>
        <w:t>初始状态(resting state -70mV)</w:t>
      </w:r>
    </w:p>
    <w:p>
      <w:pPr>
        <w:numPr/>
        <w:pBdr/>
        <w:rPr>
          <w:i w:val="false"/>
          <w:strike w:val="false"/>
          <w:spacing w:val="0"/>
          <w:u w:val="none"/>
        </w:rPr>
      </w:pPr>
      <w:r>
        <w:rPr>
          <w:i w:val="false"/>
          <w:strike w:val="false"/>
          <w:spacing w:val="0"/>
          <w:u w:val="none"/>
        </w:rPr>
        <w:t>depolarization去极化（钠离子进入,+40mV）</w:t>
      </w:r>
    </w:p>
    <w:p>
      <w:pPr>
        <w:numPr/>
        <w:pBdr>
          <w:bottom/>
        </w:pBdr>
        <w:rPr/>
      </w:pPr>
      <w:r>
        <w:rPr/>
        <w:t>（需要超过阈值-55mV，否则为failed initiations）</w:t>
      </w:r>
    </w:p>
    <w:p>
      <w:pPr>
        <w:snapToGrid/>
        <w:spacing w:line="240"/>
        <w:rPr/>
      </w:pPr>
      <w:r>
        <w:rPr>
          <w:i w:val="false"/>
          <w:strike w:val="false"/>
          <w:spacing w:val="0"/>
          <w:u w:val="none"/>
        </w:rPr>
        <w:t>repolarization复极化（钾离子出去）</w:t>
      </w:r>
    </w:p>
    <w:p>
      <w:pPr>
        <w:pBdr/>
        <w:snapToGrid/>
        <w:spacing w:line="240"/>
        <w:rPr>
          <w:i w:val="false"/>
          <w:strike w:val="false"/>
          <w:spacing w:val="0"/>
          <w:u w:val="none"/>
        </w:rPr>
      </w:pPr>
      <w:r>
        <w:rPr>
          <w:i w:val="false"/>
          <w:strike w:val="false"/>
          <w:spacing w:val="0"/>
          <w:u w:val="none"/>
        </w:rPr>
        <w:t>hyperpolarization超极化</w:t>
      </w:r>
    </w:p>
    <w:p>
      <w:pPr>
        <w:numPr/>
        <w:pBdr/>
        <w:rPr>
          <w:b/>
        </w:rPr>
      </w:pPr>
      <w:r>
        <w:rPr>
          <w:b/>
        </w:rPr>
        <w:t>不同细胞动作电位不同（神经细胞与心肌细胞</w:t>
      </w:r>
      <w:r>
        <w:rPr>
          <w:b/>
          <w:i w:val="false"/>
          <w:strike w:val="false"/>
          <w:spacing w:val="0"/>
          <w:u w:val="none"/>
        </w:rPr>
        <w:t>cardiac myocytr</w:t>
      </w:r>
      <w:r>
        <w:rPr>
          <w:b/>
        </w:rPr>
        <w:t>）</w:t>
      </w:r>
    </w:p>
    <w:p>
      <w:pPr>
        <w:numPr/>
        <w:pBdr/>
        <w:jc w:val="center"/>
        <w:rPr>
          <w:b w:val="false"/>
        </w:rPr>
      </w:pPr>
      <w:r>
        <w:rPr>
          <w:b w:val="false"/>
        </w:rPr>
        <w:drawing>
          <wp:inline distT="0" distB="0" distL="0" distR="0">
            <wp:extent cx="2362200" cy="169112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rcRect l="0" t="0" r="0" b="0"/>
                    <a:stretch/>
                  </pic:blipFill>
                  <pic:spPr>
                    <a:xfrm rot="0">
                      <a:off x="0" y="0"/>
                      <a:ext cx="2362200" cy="1691120"/>
                    </a:xfrm>
                    <a:prstGeom prst="rect">
                      <a:avLst/>
                    </a:prstGeom>
                  </pic:spPr>
                </pic:pic>
              </a:graphicData>
            </a:graphic>
          </wp:inline>
        </w:drawing>
      </w:r>
    </w:p>
    <w:p>
      <w:pPr>
        <w:numPr/>
        <w:pBdr/>
        <w:rPr/>
      </w:pPr>
      <w:r>
        <w:rPr/>
        <w:t>Excitable cells are the sources of bioelectric potentials可兴奋细胞是生物电位的来源</w:t>
      </w:r>
    </w:p>
    <w:p>
      <w:pPr>
        <w:numPr/>
        <w:pBdr/>
        <w:rPr/>
      </w:pPr>
      <w:r>
        <w:rPr/>
        <w:t>electrochemical activity of a certain class of cells某一类细胞的电化学活性</w:t>
      </w:r>
    </w:p>
    <w:p>
      <w:pPr>
        <w:numPr/>
        <w:pBdr/>
        <w:rPr/>
      </w:pPr>
      <w:r>
        <w:rPr/>
        <w:t>components of nervous, muscular, glandular tissue神经、肌肉和腺体组织的组成部分</w:t>
      </w:r>
    </w:p>
    <w:p>
      <w:pPr>
        <w:snapToGrid/>
        <w:spacing w:line="240"/>
        <w:rPr/>
      </w:pPr>
      <w:r>
        <w:rPr>
          <w:i w:val="false"/>
          <w:strike w:val="false"/>
          <w:spacing w:val="0"/>
          <w:u w:val="none"/>
        </w:rPr>
        <w:t>electrocardiogram (ECG)心电图</w:t>
      </w:r>
    </w:p>
    <w:p>
      <w:pPr>
        <w:snapToGrid/>
        <w:spacing w:line="240"/>
        <w:rPr/>
      </w:pPr>
      <w:r>
        <w:rPr>
          <w:i w:val="false"/>
          <w:strike w:val="false"/>
          <w:spacing w:val="0"/>
          <w:u w:val="none"/>
        </w:rPr>
        <w:t>electroencephalogram (EEG)脑电图</w:t>
      </w:r>
    </w:p>
    <w:p>
      <w:pPr>
        <w:numPr/>
        <w:pBdr/>
        <w:rPr>
          <w:i w:val="false"/>
          <w:strike w:val="false"/>
          <w:spacing w:val="0"/>
          <w:u w:val="none"/>
        </w:rPr>
      </w:pPr>
      <w:r>
        <w:rPr>
          <w:i w:val="false"/>
          <w:strike w:val="false"/>
          <w:spacing w:val="0"/>
          <w:u w:val="none"/>
        </w:rPr>
        <w:t>electromyogram (EMG)肌电图</w:t>
      </w:r>
    </w:p>
    <w:p>
      <w:pPr>
        <w:numPr/>
        <w:pBdr/>
        <w:jc w:val="center"/>
        <w:rPr>
          <w:i w:val="false"/>
          <w:strike w:val="false"/>
          <w:spacing w:val="0"/>
          <w:u w:val="none"/>
        </w:rPr>
      </w:pPr>
      <w:r>
        <w:rPr>
          <w:i w:val="false"/>
          <w:strike w:val="false"/>
          <w:spacing w:val="0"/>
          <w:u w:val="none"/>
        </w:rPr>
        <w:drawing>
          <wp:inline distT="0" distB="0" distL="0" distR="0">
            <wp:extent cx="4075614" cy="2326578"/>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l="5786" t="12762" r="4958" b="3531"/>
                    <a:stretch/>
                  </pic:blipFill>
                  <pic:spPr>
                    <a:xfrm rot="0">
                      <a:off x="0" y="0"/>
                      <a:ext cx="4075614" cy="2326578"/>
                    </a:xfrm>
                    <a:prstGeom prst="rect">
                      <a:avLst/>
                    </a:prstGeom>
                  </pic:spPr>
                </pic:pic>
              </a:graphicData>
            </a:graphic>
          </wp:inline>
        </w:drawing>
      </w:r>
    </w:p>
    <w:p>
      <w:pPr>
        <w:numPr/>
        <w:pBdr/>
        <w:rPr>
          <w:i w:val="false"/>
          <w:strike w:val="false"/>
          <w:spacing w:val="0"/>
          <w:sz w:val="18"/>
          <w:u w:val="none"/>
        </w:rPr>
      </w:pPr>
      <w:r>
        <w:rPr>
          <w:i w:val="false"/>
          <w:strike w:val="false"/>
          <w:spacing w:val="0"/>
          <w:sz w:val="18"/>
          <w:u w:val="none"/>
        </w:rPr>
        <w:t>P Wave: Represents atrial depolarization, the electrical activity that leads to the contraction of the atria.代表心房去极化，导致心房收缩的电活动</w:t>
      </w:r>
    </w:p>
    <w:p>
      <w:pPr>
        <w:numPr/>
        <w:pBdr>
          <w:bottom/>
        </w:pBdr>
        <w:rPr>
          <w:i w:val="false"/>
          <w:strike w:val="false"/>
          <w:spacing w:val="0"/>
          <w:sz w:val="18"/>
          <w:u w:val="none"/>
        </w:rPr>
      </w:pPr>
      <w:r>
        <w:rPr>
          <w:i w:val="false"/>
          <w:strike w:val="false"/>
          <w:spacing w:val="0"/>
          <w:sz w:val="18"/>
          <w:u w:val="none"/>
        </w:rPr>
        <w:t>PR Interval: Measures the time from the start of atrial depolarization (P wave) to the start of ventricular depolarization (QRS complex). It reflects the time taken for the electrical impulse to travel from the atria to the ventricles through the AV node从心房去极化（P 波）开始到心室去极化（QRS 波群）开始的时间。它反映了电脉冲通过房室结从心房传播到心室所需的时间。</w:t>
      </w:r>
    </w:p>
    <w:p>
      <w:pPr>
        <w:numPr/>
        <w:pBdr/>
        <w:rPr>
          <w:i w:val="false"/>
          <w:strike w:val="false"/>
          <w:spacing w:val="0"/>
          <w:sz w:val="18"/>
          <w:u w:val="none"/>
        </w:rPr>
      </w:pPr>
      <w:r>
        <w:rPr>
          <w:i w:val="false"/>
          <w:strike w:val="false"/>
          <w:spacing w:val="0"/>
          <w:sz w:val="18"/>
          <w:u w:val="none"/>
        </w:rPr>
        <w:t>QRS Complex: Represents ventricular depolarization, the electrical activity that leads to the contraction of the ventricles. It's a rapid sequence of deflections and is usually the most prominent part of the ECG trace.代表心室去极化，导致心室收缩的电活动。这是一个快速的偏转序列，通常是心电图迹线中最突出的部分。</w:t>
      </w:r>
    </w:p>
    <w:p>
      <w:pPr>
        <w:numPr/>
        <w:pBdr>
          <w:bottom/>
        </w:pBdr>
        <w:rPr>
          <w:i w:val="false"/>
          <w:strike w:val="false"/>
          <w:spacing w:val="0"/>
          <w:sz w:val="18"/>
          <w:u w:val="none"/>
        </w:rPr>
      </w:pPr>
      <w:r>
        <w:rPr>
          <w:i w:val="false"/>
          <w:strike w:val="false"/>
          <w:spacing w:val="0"/>
          <w:sz w:val="18"/>
          <w:u w:val="none"/>
        </w:rPr>
        <w:t>ST Segment: The flat section immediately following the QRS complex and ending at the start of the T wave, representing the period when the ventricles are depolarized代表心室去极化的时期。</w:t>
      </w:r>
    </w:p>
    <w:p>
      <w:pPr>
        <w:numPr/>
        <w:pBdr/>
        <w:rPr>
          <w:i w:val="false"/>
          <w:strike w:val="false"/>
          <w:spacing w:val="0"/>
          <w:sz w:val="18"/>
          <w:u w:val="none"/>
        </w:rPr>
      </w:pPr>
      <w:r>
        <w:rPr>
          <w:i w:val="false"/>
          <w:strike w:val="false"/>
          <w:spacing w:val="0"/>
          <w:sz w:val="18"/>
          <w:u w:val="none"/>
        </w:rPr>
        <w:t>T Wave: Represents ventricular repolarization, which is the recovery phase where the ventricles are getting ready for the next contraction代表心室复极化，这是心室为下一次收缩做准备的恢复阶段。</w:t>
      </w:r>
    </w:p>
    <w:p>
      <w:pPr>
        <w:numPr/>
        <w:pBdr/>
        <w:rPr>
          <w:i w:val="false"/>
          <w:strike w:val="false"/>
          <w:spacing w:val="0"/>
          <w:sz w:val="18"/>
          <w:u w:val="none"/>
        </w:rPr>
      </w:pPr>
      <w:r>
        <w:rPr>
          <w:i w:val="false"/>
          <w:strike w:val="false"/>
          <w:spacing w:val="0"/>
          <w:sz w:val="18"/>
          <w:u w:val="none"/>
        </w:rPr>
        <w:t>U Wave: Occasionally seen following the T wave and before the next P wave; its exact origin isn't well understood but may represent repolarization of the Purkinje fibers or afterpotentials particularly in cases of hypokalemia or bradycardia.其确切起源尚不清楚，但可能代表浦肯野纤维或后电位的复极化，特别是在低钾血症或心动过缓的情况下。</w:t>
      </w:r>
    </w:p>
    <w:p>
      <w:pPr>
        <w:numPr/>
        <w:pBdr>
          <w:bottom/>
        </w:pBdr>
        <w:rPr>
          <w:i w:val="false"/>
          <w:strike w:val="false"/>
          <w:spacing w:val="0"/>
          <w:sz w:val="18"/>
          <w:u w:val="none"/>
        </w:rPr>
      </w:pPr>
      <w:r>
        <w:rPr>
          <w:i w:val="false"/>
          <w:strike w:val="false"/>
          <w:spacing w:val="0"/>
          <w:sz w:val="18"/>
          <w:u w:val="none"/>
        </w:rPr>
        <w:t>QT Interval:Measures the time from the start of the QRS complex to the end of the T wave. It represents the total time for both ventricular depolarization and repolarization表示心室去极化和复极化的总时间。</w:t>
      </w:r>
    </w:p>
    <w:p>
      <w:pPr>
        <w:numPr/>
        <w:pBdr/>
        <w:rPr>
          <w:i w:val="false"/>
          <w:strike w:val="false"/>
          <w:spacing w:val="0"/>
          <w:sz w:val="18"/>
          <w:u w:val="none"/>
        </w:rPr>
      </w:pPr>
      <w:r>
        <w:rPr>
          <w:i w:val="false"/>
          <w:strike w:val="false"/>
          <w:spacing w:val="0"/>
          <w:sz w:val="18"/>
          <w:u w:val="none"/>
        </w:rPr>
        <w:t>RR Interval: The time between two consecutive R waves, used to calculate the heart rate.用于计算心率。</w:t>
      </w:r>
    </w:p>
    <w:p>
      <w:pPr>
        <w:numPr/>
        <w:pBdr/>
        <w:jc w:val="center"/>
        <w:rPr>
          <w:i w:val="false"/>
          <w:strike w:val="false"/>
          <w:spacing w:val="0"/>
          <w:sz w:val="18"/>
          <w:u w:val="none"/>
        </w:rPr>
      </w:pPr>
      <w:r>
        <w:rPr>
          <w:i w:val="false"/>
          <w:strike w:val="false"/>
          <w:spacing w:val="0"/>
          <w:sz w:val="18"/>
          <w:u w:val="none"/>
        </w:rPr>
        <w:drawing>
          <wp:inline distT="0" distB="0" distL="0" distR="0">
            <wp:extent cx="4410034" cy="2154898"/>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rcRect l="2515" t="4617" r="2128" b="2693"/>
                    <a:stretch/>
                  </pic:blipFill>
                  <pic:spPr>
                    <a:xfrm rot="0">
                      <a:off x="0" y="0"/>
                      <a:ext cx="4410034" cy="2154898"/>
                    </a:xfrm>
                    <a:prstGeom prst="rect">
                      <a:avLst/>
                    </a:prstGeom>
                  </pic:spPr>
                </pic:pic>
              </a:graphicData>
            </a:graphic>
          </wp:inline>
        </w:drawing>
      </w:r>
    </w:p>
    <w:p>
      <w:pPr>
        <w:numPr/>
        <w:pBdr/>
        <w:rPr>
          <w:i w:val="false"/>
          <w:strike w:val="false"/>
          <w:spacing w:val="0"/>
          <w:sz w:val="18"/>
          <w:u w:val="none"/>
        </w:rPr>
      </w:pPr>
      <w:r>
        <w:rPr>
          <w:i w:val="false"/>
          <w:strike w:val="false"/>
          <w:spacing w:val="0"/>
          <w:sz w:val="18"/>
          <w:u w:val="none"/>
        </w:rPr>
        <w:t>the electrocardiogram (ECG) tracings of a normal heart rhythm and a heart experiencing atrial fibrillation.</w:t>
      </w:r>
    </w:p>
    <w:p>
      <w:pPr>
        <w:numPr/>
        <w:pBdr/>
        <w:rPr>
          <w:i w:val="false"/>
          <w:strike w:val="false"/>
          <w:spacing w:val="0"/>
          <w:sz w:val="18"/>
          <w:u w:val="none"/>
        </w:rPr>
      </w:pPr>
      <w:r>
        <w:rPr>
          <w:i w:val="false"/>
          <w:strike w:val="false"/>
          <w:spacing w:val="0"/>
          <w:sz w:val="18"/>
          <w:u w:val="none"/>
        </w:rPr>
        <w:t>正常心律的心电图 （ECG） 轨迹和经历心房颤动的心脏。</w:t>
      </w:r>
    </w:p>
    <w:p>
      <w:pPr>
        <w:pStyle w:val="ztjdn5"/>
        <w:numPr/>
        <w:rPr/>
      </w:pPr>
      <w:r>
        <w:rPr/>
        <w:t>Leo:</w:t>
      </w:r>
    </w:p>
    <w:p>
      <w:pPr>
        <w:numPr/>
        <w:pBdr/>
        <w:rPr>
          <w:i w:val="false"/>
          <w:strike w:val="false"/>
          <w:spacing w:val="0"/>
          <w:u w:val="none"/>
        </w:rPr>
      </w:pPr>
      <w:r>
        <w:rPr>
          <w:i w:val="false"/>
          <w:strike w:val="false"/>
          <w:spacing w:val="0"/>
          <w:u w:val="none"/>
        </w:rPr>
        <w:drawing>
          <wp:inline distT="0" distB="0" distL="0" distR="0">
            <wp:extent cx="3785218" cy="2771428"/>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l="0" t="0" r="0" b="0"/>
                    <a:stretch/>
                  </pic:blipFill>
                  <pic:spPr>
                    <a:xfrm rot="0">
                      <a:off x="0" y="0"/>
                      <a:ext cx="3785218" cy="2771428"/>
                    </a:xfrm>
                    <a:prstGeom prst="rect">
                      <a:avLst/>
                    </a:prstGeom>
                  </pic:spPr>
                </pic:pic>
              </a:graphicData>
            </a:graphic>
          </wp:inline>
        </w:drawing>
      </w:r>
      <w:r>
        <w:rPr/>
        <w:drawing>
          <wp:inline distT="0" distB="0" distL="0" distR="0">
            <wp:extent cx="1887855" cy="2080331"/>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rcRect l="0" t="0" r="0" b="0"/>
                    <a:stretch/>
                  </pic:blipFill>
                  <pic:spPr>
                    <a:xfrm rot="0">
                      <a:off x="0" y="0"/>
                      <a:ext cx="1887855" cy="2080331"/>
                    </a:xfrm>
                    <a:prstGeom prst="rect">
                      <a:avLst/>
                    </a:prstGeom>
                    <a:ln/>
                  </pic:spPr>
                </pic:pic>
              </a:graphicData>
            </a:graphic>
          </wp:inline>
        </w:drawing>
      </w:r>
    </w:p>
    <w:p>
      <w:pPr>
        <w:numPr/>
        <w:pBdr>
          <w:bottom/>
        </w:pBdr>
        <w:rPr>
          <w:i w:val="false"/>
          <w:strike w:val="false"/>
          <w:spacing w:val="0"/>
          <w:u w:val="none"/>
        </w:rPr>
      </w:pPr>
      <w:r>
        <w:rPr>
          <w:i w:val="false"/>
          <w:strike w:val="false"/>
          <w:spacing w:val="0"/>
          <w:u w:val="none"/>
        </w:rPr>
        <w:t>三种类型的肌肉：骨骼肌，心肌，平滑肌 功能特点：收缩性，可扩展性，兴奋性</w:t>
      </w:r>
    </w:p>
    <w:p>
      <w:pPr>
        <w:pBdr/>
        <w:snapToGrid/>
        <w:spacing w:line="240"/>
        <w:rPr>
          <w:i w:val="false"/>
          <w:strike w:val="false"/>
          <w:spacing w:val="0"/>
          <w:u w:val="none"/>
        </w:rPr>
      </w:pPr>
      <w:r>
        <w:rPr>
          <w:i w:val="false"/>
          <w:strike w:val="false"/>
          <w:spacing w:val="0"/>
          <w:u w:val="none"/>
        </w:rPr>
        <w:t>骨骼肌收缩顺序：</w:t>
      </w:r>
    </w:p>
    <w:p>
      <w:pPr>
        <w:numPr>
          <w:ilvl w:val="0"/>
          <w:numId w:val="1"/>
        </w:numPr>
        <w:pBdr/>
        <w:snapToGrid/>
        <w:spacing w:line="240"/>
        <w:rPr>
          <w:i w:val="false"/>
          <w:strike w:val="false"/>
          <w:spacing w:val="0"/>
          <w:u w:val="none"/>
        </w:rPr>
      </w:pPr>
      <w:r>
        <w:rPr>
          <w:i w:val="false"/>
          <w:strike w:val="false"/>
          <w:spacing w:val="0"/>
          <w:u w:val="none"/>
        </w:rPr>
        <w:t>骨骼肌纤维在神经肌肉受运动神经元刺激----&gt;动作电位到达突触末端</w:t>
      </w:r>
    </w:p>
    <w:p>
      <w:pPr>
        <w:numPr>
          <w:ilvl w:val="0"/>
          <w:numId w:val="1"/>
        </w:numPr>
        <w:pBdr/>
        <w:snapToGrid/>
        <w:spacing w:line="240"/>
        <w:ind/>
        <w:rPr>
          <w:i w:val="false"/>
          <w:strike w:val="false"/>
          <w:spacing w:val="0"/>
          <w:u w:val="none"/>
        </w:rPr>
      </w:pPr>
      <w:r>
        <w:rPr>
          <w:i w:val="false"/>
          <w:strike w:val="false"/>
          <w:spacing w:val="0"/>
          <w:u w:val="none"/>
        </w:rPr>
        <w:t>粗丝和细丝相互作用，肌节缩短，肌纤维末端拉的更近</w:t>
      </w:r>
    </w:p>
    <w:p>
      <w:pPr>
        <w:numPr>
          <w:ilvl w:val="0"/>
          <w:numId w:val="1"/>
        </w:numPr>
        <w:pBdr>
          <w:bottom/>
        </w:pBdr>
        <w:snapToGrid/>
        <w:spacing w:line="240"/>
        <w:ind/>
        <w:rPr>
          <w:i w:val="false"/>
          <w:strike w:val="false"/>
          <w:spacing w:val="0"/>
          <w:u w:val="none"/>
        </w:rPr>
      </w:pPr>
      <w:r>
        <w:rPr>
          <w:i w:val="false"/>
          <w:strike w:val="false"/>
          <w:spacing w:val="0"/>
          <w:u w:val="none"/>
        </w:rPr>
        <w:t>在收缩过程中，整个骨骼肌肉缩短，并对两端的肌腱产生拉力或张力。</w:t>
      </w:r>
    </w:p>
    <w:p>
      <w:pPr>
        <w:numPr/>
        <w:pBdr/>
        <w:rPr>
          <w:i w:val="false"/>
          <w:strike w:val="false"/>
          <w:spacing w:val="0"/>
          <w:u w:val="none"/>
        </w:rPr>
      </w:pPr>
      <w:r>
        <w:rPr>
          <w:i w:val="false"/>
          <w:strike w:val="false"/>
          <w:spacing w:val="0"/>
          <w:u w:val="none"/>
        </w:rPr>
        <w:t>motor unit：描述肌肉收缩过程的神经控制的最小功能单元，运动神经元在脊髓中，有长轴突连向肌肉，轴突分裂成许多分支，每个分支终止于肌纤维上的运动终板，运动神经元+支配的肌纤维叫做运动单位。</w:t>
      </w:r>
    </w:p>
    <w:p>
      <w:pPr>
        <w:numPr/>
        <w:pBdr/>
        <w:rPr>
          <w:i w:val="false"/>
          <w:strike w:val="false"/>
          <w:spacing w:val="0"/>
          <w:u w:val="none"/>
        </w:rPr>
      </w:pPr>
      <w:r>
        <w:rPr>
          <w:i w:val="false"/>
          <w:strike w:val="false"/>
          <w:spacing w:val="0"/>
          <w:u w:val="none"/>
        </w:rPr>
        <w:t>动物细胞通过细胞膜以离子梯度的形式储存能量。钠离子在细胞外浓度高，钾离子在细胞内浓度高。动物细胞通过这个原理使用一种叫做钠钾泵的膜泵来储存和释放能量。过程：钠离子进入细胞侧结合位点，一个泵上有三个纳结合位点，把钠离子泵出去要ATP，ATP把磷酸基团转移到高能林肯的泵上。磷酸化导致泵变化，钠离子就呗泵出细胞外。钾离子泵结合位点有2个。钾离子进入细胞内不需要ATP，一次完整的周期大概要10毫秒。</w:t>
      </w:r>
    </w:p>
    <w:p>
      <w:pPr>
        <w:numPr/>
        <w:pBdr/>
        <w:rPr>
          <w:rFonts w:ascii="Arial" w:hAnsi="Arial" w:eastAsia="Arial" w:cs="Arial"/>
          <w:i w:val="false"/>
          <w:strike w:val="false"/>
          <w:color w:val="333333"/>
          <w:spacing w:val="0"/>
          <w:sz w:val="20"/>
          <w:u w:val="none"/>
          <w:shd w:val="clear" w:color="auto" w:fill="FFFFFF"/>
        </w:rPr>
      </w:pPr>
      <w:r>
        <w:rPr>
          <w:i w:val="false"/>
          <w:strike w:val="false"/>
          <w:spacing w:val="0"/>
          <w:u w:val="none"/>
        </w:rPr>
        <w:t>细菌钾离子通道是一种多通道的趋势性膜蛋白，他位于质膜上。由对称排列的四个亚单位组成的，蛋白质中间的一个洞允许钾离子选择性地通过这个膜。4个刚性蛋白环，每个亚基有一个，然后在最窄的部分形成一个选择性分子。这个通道只通过NA或K离子。在每一个选择性单分子中，</w:t>
      </w:r>
      <w:r>
        <w:rPr>
          <w:rFonts w:ascii="Arial" w:hAnsi="Arial" w:eastAsia="Arial" w:cs="Arial"/>
          <w:i w:val="false"/>
          <w:strike w:val="false"/>
          <w:color w:val="333333"/>
          <w:spacing w:val="0"/>
          <w:sz w:val="20"/>
          <w:u w:val="none"/>
          <w:shd w:val="clear" w:color="auto" w:fill="FFFFFF"/>
        </w:rPr>
        <w:t>羰基排列在四个亚基的末端，作用于未溶解的钾离子，去除他的水合外壳。钠离子因为太小不能和羰基充分产生作用所以需要能量。</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神经细胞的基本任务是接收、传导和传递信号，神经元以动作电位的形式传播信号并且沿着轴突传递很远也不减弱，因为在这一过程中电压门控钠离子通道一直在放大信号，有信号来时，动作电位响应膜去极化使纳通道打开，钠离子涌入轴突使轴突进一步去极化在1毫秒内。然后钠离子通道切换到一个新的失活状态，动作电位通过后膜电位将会恢复，遇到下一个动作电位时再次打开。当膜电位关闭时，电位大概是-80毫伏，当开始去极化的时候，钠离子通道打开，它沿着浓度梯度进入轴突，膜电位会迅速接近钠的平衡电位，约为40毫伏。然后直到恢复到-80毫伏之后几毫秒，钠离子通道才可能再次打开。动作电位只在一个方向上传播。总而言之，动作电位导致膜去极化，然后钠离子通道打开。</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膜片钳用于研究小片膜的特性，用非常小的开口的玻璃移液器来实现，他的器口有吸力导致膜与开口的缝隙非常紧密，所以单个离子通道打开时所有离子都会流到移液器内从而产生电流，然后哦通过连接到移液器的电子放大器来测量电流，这种电流叫做微观电流。可用于测试不同通道的响应特性。</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全细胞记录whole cell recording： 通过施加强吸力来破坏移液器内的膜，然后吸管会和细胞质直接接触，可以用来测整个细胞的电位和电流。</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由内而外的贴片记录inside-out recording: 吸管把膜上面的泵吸下来然后在囊泡里做实验。可以测量单通道电流。</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outside-out recording：把泵吸掉，然后旁边的膜和泵反过来黏在一起，用来研究通道活性如何收到影响是最佳的</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光电体积描迹法(PPG)：通过光学方式捕获血液流动引起的微小皮肤颜色变化，</w:t>
      </w:r>
      <w:r>
        <w:rPr>
          <w:rFonts w:ascii="sans-serif" w:hAnsi="sans-serif" w:eastAsia="sans-serif" w:cs="sans-serif"/>
          <w:i w:val="false"/>
          <w:strike w:val="false"/>
          <w:color w:val="000000"/>
          <w:spacing w:val="0"/>
          <w:sz w:val="19"/>
          <w:u w:val="none"/>
          <w:shd w:val="clear" w:color="auto" w:fill="FFFFFF"/>
        </w:rPr>
        <w:t>检测皮肤表面血液的体积变化并计算心率。</w:t>
      </w:r>
      <w:r>
        <w:rPr>
          <w:rFonts w:ascii="Arial" w:hAnsi="Arial" w:eastAsia="Arial" w:cs="Arial"/>
          <w:i w:val="false"/>
          <w:strike w:val="false"/>
          <w:color w:val="333333"/>
          <w:spacing w:val="0"/>
          <w:sz w:val="20"/>
          <w:u w:val="none"/>
          <w:shd w:val="clear" w:color="auto" w:fill="FFFFFF"/>
        </w:rPr>
        <w:t>，从而检测皮肤表面末梢循环中血液容量的变化。</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氧饱和度：定义为血红蛋白结合氧占可逆氧结合的血红蛋白总量的百分比。</w:t>
      </w:r>
    </w:p>
    <w:p>
      <w:pPr>
        <w:numPr/>
        <w:pBdr/>
        <w:rPr>
          <w:rFonts w:ascii="Arial" w:hAnsi="Arial" w:eastAsia="Arial" w:cs="Arial"/>
          <w:i w:val="false"/>
          <w:strike w:val="false"/>
          <w:color w:val="333333"/>
          <w:spacing w:val="0"/>
          <w:sz w:val="20"/>
          <w:u w:val="none"/>
          <w:shd w:val="clear" w:color="auto" w:fill="FFFFFF"/>
        </w:rPr>
      </w:pPr>
      <w:r>
        <w:rPr/>
        <w:drawing>
          <wp:inline distT="0" distB="0" distL="0" distR="0">
            <wp:extent cx="3314700" cy="942975"/>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rcRect/>
                    <a:stretch/>
                  </pic:blipFill>
                  <pic:spPr>
                    <a:xfrm>
                      <a:off x="0" y="0"/>
                      <a:ext cx="3314700" cy="942975"/>
                    </a:xfrm>
                    <a:prstGeom prst="rect">
                      <a:avLst/>
                    </a:prstGeom>
                    <a:ln/>
                  </pic:spPr>
                </pic:pic>
              </a:graphicData>
            </a:graphic>
          </wp:inline>
        </w:drawing>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内源性分子氧无法通过光学检测，但是血红蛋白作为氧分子载体可以，当氧分子和血红蛋白结合的时候颜色会变。</w:t>
      </w:r>
    </w:p>
    <w:p>
      <w:pPr>
        <w:numPr/>
        <w:pBdr/>
        <w:rPr>
          <w:rFonts w:ascii="Arial" w:hAnsi="Arial" w:eastAsia="Arial" w:cs="Arial"/>
          <w:i w:val="false"/>
          <w:strike w:val="false"/>
          <w:color w:val="333333"/>
          <w:spacing w:val="0"/>
          <w:sz w:val="20"/>
          <w:u w:val="none"/>
          <w:shd w:val="clear" w:color="auto" w:fill="FFFFFF"/>
        </w:rPr>
      </w:pPr>
      <w:r>
        <w:rPr/>
        <w:drawing>
          <wp:inline distT="0" distB="0" distL="0" distR="0">
            <wp:extent cx="2900070" cy="1399225"/>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1"/>
                    <a:srcRect l="0" t="0" r="0" b="0"/>
                    <a:stretch/>
                  </pic:blipFill>
                  <pic:spPr>
                    <a:xfrm rot="0">
                      <a:off x="0" y="0"/>
                      <a:ext cx="2900070" cy="1399225"/>
                    </a:xfrm>
                    <a:prstGeom prst="rect">
                      <a:avLst/>
                    </a:prstGeom>
                    <a:ln/>
                  </pic:spPr>
                </pic:pic>
              </a:graphicData>
            </a:graphic>
          </wp:inline>
        </w:drawing>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光的吸光度A = - log (I/I0) I:存在样品时光强度 I0:不存在样品时光强度</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比尔-郎伯定律：给定波长下样品吸光度A = 摩尔吸收率e×吸收材料的浓度c×路径长度l</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脉搏血氧测定的数学模型：在两个不同波长下光衰减 = 有氧血红蛋白吸光+脱氧血红蛋白吸光+特定的变量吸收+其他非特异性光源吸收</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drawing>
          <wp:inline distT="0" distB="0" distL="0" distR="0">
            <wp:extent cx="3838575" cy="1066800"/>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2"/>
                    <a:stretch/>
                  </pic:blipFill>
                  <pic:spPr>
                    <a:xfrm>
                      <a:off x="0" y="0"/>
                      <a:ext cx="3838575" cy="1066800"/>
                    </a:xfrm>
                    <a:prstGeom prst="rect">
                      <a:avLst/>
                    </a:prstGeom>
                  </pic:spPr>
                </pic:pic>
              </a:graphicData>
            </a:graphic>
          </wp:inline>
        </w:drawing>
      </w:r>
      <w:r>
        <w:rPr>
          <w:rFonts w:ascii="Arial" w:hAnsi="Arial" w:eastAsia="Arial" w:cs="Arial"/>
          <w:i w:val="false"/>
          <w:strike w:val="false"/>
          <w:color w:val="333333"/>
          <w:spacing w:val="0"/>
          <w:sz w:val="20"/>
          <w:u w:val="none"/>
          <w:shd w:val="clear" w:color="auto" w:fill="FFFFFF"/>
        </w:rPr>
        <w:t xml:space="preserve"> </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但是在计算变化的时候后面两项基本上是0，因为不会变化，所以血路长度变化可以表达成：</w:t>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drawing>
          <wp:inline distT="0" distB="0" distL="0" distR="0">
            <wp:extent cx="4512945" cy="631935"/>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3"/>
                    <a:srcRect l="0" t="0" r="0" b="0"/>
                    <a:stretch/>
                  </pic:blipFill>
                  <pic:spPr>
                    <a:xfrm rot="0">
                      <a:off x="0" y="0"/>
                      <a:ext cx="4512945" cy="631935"/>
                    </a:xfrm>
                    <a:prstGeom prst="rect">
                      <a:avLst/>
                    </a:prstGeom>
                  </pic:spPr>
                </pic:pic>
              </a:graphicData>
            </a:graphic>
          </wp:inline>
        </w:drawing>
      </w:r>
    </w:p>
    <w:p>
      <w:pPr>
        <w:numPr/>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t>最后血氧表达式：</w:t>
      </w:r>
    </w:p>
    <w:p>
      <w:pPr>
        <w:numPr/>
        <w:pBdr>
          <w:bottom/>
        </w:pBdr>
        <w:rPr>
          <w:rFonts w:ascii="Arial" w:hAnsi="Arial" w:eastAsia="Arial" w:cs="Arial"/>
          <w:i w:val="false"/>
          <w:strike w:val="false"/>
          <w:color w:val="333333"/>
          <w:spacing w:val="0"/>
          <w:sz w:val="20"/>
          <w:u w:val="none"/>
          <w:shd w:val="clear" w:color="auto" w:fill="FFFFFF"/>
        </w:rPr>
      </w:pPr>
      <w:r>
        <w:rPr>
          <w:rFonts w:ascii="Arial" w:hAnsi="Arial" w:eastAsia="Arial" w:cs="Arial"/>
          <w:i w:val="false"/>
          <w:strike w:val="false"/>
          <w:color w:val="333333"/>
          <w:spacing w:val="0"/>
          <w:sz w:val="20"/>
          <w:u w:val="none"/>
          <w:shd w:val="clear" w:color="auto" w:fill="FFFFFF"/>
        </w:rPr>
        <w:drawing>
          <wp:inline distT="0" distB="0" distL="0" distR="0">
            <wp:extent cx="2480310" cy="604339"/>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4"/>
                    <a:srcRect l="0" t="0" r="0" b="0"/>
                    <a:stretch/>
                  </pic:blipFill>
                  <pic:spPr>
                    <a:xfrm rot="0">
                      <a:off x="0" y="0"/>
                      <a:ext cx="2480310" cy="604339"/>
                    </a:xfrm>
                    <a:prstGeom prst="rect">
                      <a:avLst/>
                    </a:prstGeom>
                  </pic:spPr>
                </pic:pic>
              </a:graphicData>
            </a:graphic>
          </wp:inline>
        </w:drawing>
      </w:r>
      <w:r>
        <w:rPr>
          <w:rFonts w:ascii="Arial" w:hAnsi="Arial" w:eastAsia="Arial" w:cs="Arial"/>
          <w:i w:val="false"/>
          <w:strike w:val="false"/>
          <w:color w:val="333333"/>
          <w:spacing w:val="0"/>
          <w:sz w:val="20"/>
          <w:u w:val="none"/>
          <w:shd w:val="clear" w:color="auto" w:fill="FFFFFF"/>
        </w:rPr>
        <w:t>（血红蛋白的标准摩尔吸光率不能直接用于公式4）</w:t>
      </w:r>
    </w:p>
    <w:p>
      <w:pPr>
        <w:numPr/>
        <w:pBdr/>
        <w:jc w:val="both"/>
        <w:rPr>
          <w:rFonts w:ascii="sans-serif" w:hAnsi="sans-serif" w:eastAsia="sans-serif" w:cs="sans-serif"/>
          <w:i w:val="false"/>
          <w:strike w:val="false"/>
          <w:color w:val="000000"/>
          <w:spacing w:val="0"/>
          <w:sz w:val="19"/>
          <w:u w:val="none"/>
          <w:shd w:val="clear" w:color="auto" w:fill="FFFFFF"/>
        </w:rPr>
      </w:pPr>
      <w:r>
        <w:rPr>
          <w:rFonts w:ascii="sans-serif" w:hAnsi="sans-serif" w:eastAsia="sans-serif" w:cs="sans-serif"/>
          <w:i w:val="false"/>
          <w:strike w:val="false"/>
          <w:color w:val="000000"/>
          <w:spacing w:val="0"/>
          <w:sz w:val="19"/>
          <w:u w:val="none"/>
          <w:shd w:val="clear" w:color="auto" w:fill="FFFFFF"/>
        </w:rPr>
        <w:t>Nernst方程表明膜电位不依赖于离子的电荷? 错，离子的电荷影响膜电位。</w:t>
      </w:r>
    </w:p>
    <w:p>
      <w:pPr>
        <w:numPr/>
        <w:pBdr/>
        <w:jc w:val="both"/>
        <w:rPr>
          <w:rFonts w:ascii="sans-serif" w:hAnsi="sans-serif" w:eastAsia="sans-serif" w:cs="sans-serif"/>
          <w:i w:val="false"/>
          <w:strike w:val="false"/>
          <w:color w:val="000000"/>
          <w:spacing w:val="0"/>
          <w:sz w:val="19"/>
          <w:u w:val="none"/>
          <w:shd w:val="clear" w:color="auto" w:fill="FFFFFF"/>
        </w:rPr>
      </w:pPr>
      <w:r>
        <w:rPr>
          <w:rFonts w:ascii="sans-serif" w:hAnsi="sans-serif" w:eastAsia="sans-serif" w:cs="sans-serif"/>
          <w:i w:val="false"/>
          <w:strike w:val="false"/>
          <w:color w:val="000000"/>
          <w:spacing w:val="0"/>
          <w:sz w:val="19"/>
          <w:u w:val="none"/>
          <w:shd w:val="clear" w:color="auto" w:fill="FFFFFF"/>
        </w:rPr>
        <w:t>假设仅存在氯离子，并且其细胞内浓度远高于细胞外浓度。膜电位是正值、等于0还是负值？正值，因为氯离子是负电荷，公式本身带符号，然后log[cl-]out/ [cl-]in &lt; 0 ， 负负得正。</w:t>
      </w:r>
    </w:p>
    <w:p>
      <w:pPr>
        <w:numPr/>
        <w:pBdr/>
        <w:jc w:val="both"/>
        <w:rPr>
          <w:i w:val="false"/>
          <w:strike w:val="false"/>
          <w:spacing w:val="0"/>
          <w:u w:val="none"/>
        </w:rPr>
      </w:pPr>
      <w:r>
        <w:rPr>
          <w:i w:val="false"/>
          <w:strike w:val="false"/>
          <w:spacing w:val="0"/>
          <w:u w:val="none"/>
        </w:rPr>
        <w:drawing>
          <wp:inline distT="0" distB="0" distL="0" distR="0">
            <wp:extent cx="1943100" cy="581025"/>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5"/>
                    <a:stretch/>
                  </pic:blipFill>
                  <pic:spPr>
                    <a:xfrm>
                      <a:off x="0" y="0"/>
                      <a:ext cx="1943100" cy="581025"/>
                    </a:xfrm>
                    <a:prstGeom prst="rect">
                      <a:avLst/>
                    </a:prstGeom>
                  </pic:spPr>
                </pic:pic>
              </a:graphicData>
            </a:graphic>
          </wp:inline>
        </w:drawing>
      </w:r>
      <w:r>
        <w:rPr>
          <w:i w:val="false"/>
          <w:strike w:val="false"/>
          <w:spacing w:val="0"/>
          <w:u w:val="none"/>
        </w:rPr>
        <w:drawing>
          <wp:inline distT="0" distB="0" distL="0" distR="0">
            <wp:extent cx="1943100" cy="466725"/>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6"/>
                    <a:stretch/>
                  </pic:blipFill>
                  <pic:spPr>
                    <a:xfrm>
                      <a:off x="0" y="0"/>
                      <a:ext cx="1943100" cy="466725"/>
                    </a:xfrm>
                    <a:prstGeom prst="rect">
                      <a:avLst/>
                    </a:prstGeom>
                  </pic:spPr>
                </pic:pic>
              </a:graphicData>
            </a:graphic>
          </wp:inline>
        </w:drawing>
      </w:r>
      <w:r>
        <w:rPr>
          <w:i w:val="false"/>
          <w:strike w:val="false"/>
          <w:spacing w:val="0"/>
          <w:u w:val="none"/>
        </w:rPr>
        <w:t xml:space="preserve"> z是离子化合价</w:t>
      </w:r>
    </w:p>
    <w:p>
      <w:pPr>
        <w:numPr/>
        <w:pBdr/>
        <w:jc w:val="both"/>
        <w:rPr>
          <w:i w:val="false"/>
          <w:strike w:val="false"/>
          <w:spacing w:val="0"/>
          <w:u w:val="none"/>
        </w:rPr>
      </w:pPr>
      <w:r>
        <w:rPr>
          <w:i w:val="false"/>
          <w:strike w:val="false"/>
          <w:spacing w:val="0"/>
          <w:u w:val="none"/>
        </w:rPr>
        <w:t xml:space="preserve">R = </w:t>
      </w:r>
      <w:r>
        <w:rPr>
          <w:rFonts w:ascii="DengXian" w:hAnsi="DengXian" w:eastAsia="DengXian" w:cs="DengXian"/>
          <w:i w:val="false"/>
          <w:strike w:val="false"/>
          <w:color w:val="000000"/>
          <w:sz w:val="21"/>
          <w:u w:val="none"/>
        </w:rPr>
        <w:t>8.314 J.K-1.mol-1 T：开尔文温度 F：法拉第常数 96485</w:t>
      </w:r>
    </w:p>
    <w:p>
      <w:pPr>
        <w:numPr/>
        <w:pBdr/>
        <w:jc w:val="both"/>
        <w:rPr>
          <w:i w:val="false"/>
          <w:strike w:val="false"/>
          <w:spacing w:val="0"/>
          <w:u w:val="none"/>
        </w:rPr>
      </w:pPr>
      <w:r>
        <w:rPr>
          <w:i w:val="false"/>
          <w:strike w:val="false"/>
          <w:spacing w:val="0"/>
          <w:u w:val="none"/>
        </w:rPr>
        <w:t>钾离子进细胞内，钠离子出细胞外，两个都是逆浓度梯度的，所以需要用泵消耗ATP</w:t>
      </w:r>
    </w:p>
    <w:p>
      <w:pPr>
        <w:numPr/>
        <w:pBdr/>
        <w:jc w:val="both"/>
        <w:rPr>
          <w:i w:val="false"/>
          <w:strike w:val="false"/>
          <w:spacing w:val="0"/>
          <w:u w:val="none"/>
        </w:rPr>
      </w:pPr>
      <w:r>
        <w:rPr>
          <w:i w:val="false"/>
          <w:strike w:val="false"/>
          <w:spacing w:val="0"/>
          <w:u w:val="none"/>
        </w:rPr>
        <w:t>WBSN（</w:t>
      </w:r>
      <w:r>
        <w:rPr>
          <w:rFonts w:ascii="Söhne" w:hAnsi="Söhne" w:eastAsia="Söhne" w:cs="Söhne"/>
          <w:i w:val="false"/>
          <w:strike w:val="false"/>
          <w:color w:val="0D0D0D"/>
          <w:spacing w:val="0"/>
          <w:sz w:val="24"/>
          <w:u w:val="none"/>
          <w:shd w:val="clear" w:color="auto" w:fill="FFFFFF"/>
        </w:rPr>
        <w:t>Wireless Body Sensor Network</w:t>
      </w:r>
      <w:r>
        <w:rPr>
          <w:i w:val="false"/>
          <w:strike w:val="false"/>
          <w:spacing w:val="0"/>
          <w:u w:val="none"/>
        </w:rPr>
        <w:t>）：传感器嵌入在人体上或者穿戴在身上监控健康等数据。</w:t>
      </w:r>
    </w:p>
    <w:p>
      <w:pPr>
        <w:numPr/>
        <w:pBdr/>
        <w:jc w:val="both"/>
        <w:rPr>
          <w:i w:val="false"/>
          <w:strike w:val="false"/>
          <w:spacing w:val="0"/>
          <w:u w:val="none"/>
        </w:rPr>
      </w:pPr>
      <w:r>
        <w:rPr>
          <w:i w:val="false"/>
          <w:strike w:val="false"/>
          <w:spacing w:val="0"/>
          <w:u w:val="none"/>
        </w:rPr>
        <w:t>BSN四个组成部分：1、收发器2、微控制器3、敏感元件4、能量来源</w:t>
      </w:r>
    </w:p>
    <w:p>
      <w:pPr>
        <w:numPr/>
        <w:pBdr/>
        <w:jc w:val="both"/>
        <w:rPr>
          <w:i w:val="false"/>
          <w:strike w:val="false"/>
          <w:spacing w:val="0"/>
          <w:u w:val="none"/>
        </w:rPr>
      </w:pPr>
      <w:r>
        <w:rPr>
          <w:i w:val="false"/>
          <w:strike w:val="false"/>
          <w:spacing w:val="0"/>
          <w:u w:val="none"/>
        </w:rPr>
        <w:t>BSN消耗能量理论模型：</w:t>
      </w:r>
    </w:p>
    <w:p>
      <w:pPr>
        <w:numPr/>
        <w:pBdr/>
        <w:jc w:val="both"/>
        <w:rPr>
          <w:i w:val="false"/>
          <w:strike w:val="false"/>
          <w:spacing w:val="0"/>
          <w:u w:val="none"/>
        </w:rPr>
      </w:pPr>
      <w:r>
        <w:rPr>
          <w:i w:val="false"/>
          <w:strike w:val="false"/>
          <w:spacing w:val="0"/>
          <w:u w:val="none"/>
        </w:rPr>
        <w:drawing>
          <wp:inline distT="0" distB="0" distL="0" distR="0">
            <wp:extent cx="2765181" cy="563880"/>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7"/>
                    <a:srcRect l="0" t="0" r="0" b="0"/>
                    <a:stretch/>
                  </pic:blipFill>
                  <pic:spPr>
                    <a:xfrm rot="0">
                      <a:off x="0" y="0"/>
                      <a:ext cx="2765181" cy="563880"/>
                    </a:xfrm>
                    <a:prstGeom prst="rect">
                      <a:avLst/>
                    </a:prstGeom>
                  </pic:spPr>
                </pic:pic>
              </a:graphicData>
            </a:graphic>
          </wp:inline>
        </w:drawing>
      </w:r>
    </w:p>
    <w:p>
      <w:pPr>
        <w:pBdr>
          <w:bottom/>
        </w:pBdr>
        <w:snapToGrid/>
        <w:spacing w:before="0" w:after="0" w:line="240"/>
        <w:ind w:left="0" w:right="0"/>
        <w:jc w:val="both"/>
        <w:rPr/>
      </w:pPr>
      <w:r>
        <w:rPr>
          <w:rFonts w:ascii="DengXian" w:hAnsi="DengXian" w:eastAsia="DengXian" w:cs="DengXian"/>
          <w:b/>
          <w:i w:val="false"/>
          <w:strike w:val="false"/>
          <w:color w:val="000000"/>
          <w:sz w:val="21"/>
          <w:u w:val="none"/>
        </w:rPr>
        <w:t>Piezo离子通道基础</w:t>
      </w:r>
      <w:r>
        <w:rPr>
          <w:rFonts w:ascii="DengXian" w:hAnsi="DengXian" w:eastAsia="DengXian" w:cs="DengXian"/>
          <w:i w:val="false"/>
          <w:strike w:val="false"/>
          <w:color w:val="000000"/>
          <w:sz w:val="21"/>
          <w:u w:val="none"/>
        </w:rPr>
        <w:t>: Piezo1和 Piezo2：转化机械力为电信号的离子通道。功能：使细胞能够感知和响应机械压力或变形。</w:t>
      </w:r>
      <w:r>
        <w:rPr>
          <w:rFonts w:ascii="DengXian" w:hAnsi="DengXian" w:eastAsia="DengXian" w:cs="DengXian"/>
          <w:b/>
          <w:i w:val="false"/>
          <w:strike w:val="false"/>
          <w:color w:val="000000"/>
          <w:sz w:val="21"/>
          <w:u w:val="none"/>
        </w:rPr>
        <w:t>Piezo2特定功能</w:t>
      </w:r>
      <w:r>
        <w:rPr>
          <w:rFonts w:ascii="DengXian" w:hAnsi="DengXian" w:eastAsia="DengXian" w:cs="DengXian"/>
          <w:i w:val="false"/>
          <w:strike w:val="false"/>
          <w:color w:val="000000"/>
          <w:sz w:val="21"/>
          <w:u w:val="none"/>
        </w:rPr>
        <w:t>:在皮肤的Merkel细胞传导触觉信号</w:t>
      </w:r>
      <w:r>
        <w:rPr>
          <w:rFonts w:ascii="DengXian" w:hAnsi="DengXian" w:eastAsia="DengXian" w:cs="DengXian"/>
          <w:b/>
          <w:i w:val="false"/>
          <w:strike w:val="false"/>
          <w:color w:val="000000"/>
          <w:sz w:val="21"/>
          <w:u w:val="none"/>
        </w:rPr>
        <w:t>|</w:t>
      </w:r>
      <w:r>
        <w:rPr>
          <w:rFonts w:ascii="DengXian" w:hAnsi="DengXian" w:eastAsia="DengXian" w:cs="DengXian"/>
          <w:i w:val="false"/>
          <w:strike w:val="false"/>
          <w:color w:val="000000"/>
          <w:sz w:val="21"/>
          <w:u w:val="none"/>
        </w:rPr>
        <w:t>主要负责触觉和本体感觉的传导。在肠嗜铬细胞中，将机械压力转化为血清素释放。</w:t>
      </w:r>
      <w:r>
        <w:rPr>
          <w:rFonts w:ascii="DengXian" w:hAnsi="DengXian" w:eastAsia="DengXian" w:cs="DengXian"/>
          <w:b/>
          <w:i w:val="false"/>
          <w:strike w:val="false"/>
          <w:color w:val="000000"/>
          <w:sz w:val="21"/>
          <w:u w:val="none"/>
        </w:rPr>
        <w:t>Piezo1特定功能:</w:t>
      </w:r>
      <w:r>
        <w:rPr>
          <w:rFonts w:ascii="DengXian" w:hAnsi="DengXian" w:eastAsia="DengXian" w:cs="DengXian"/>
          <w:i w:val="false"/>
          <w:strike w:val="false"/>
          <w:color w:val="000000"/>
          <w:sz w:val="21"/>
          <w:u w:val="none"/>
        </w:rPr>
        <w:t>在血管和骨骼细胞调节血压，促进骨骼形成</w:t>
      </w:r>
      <w:r>
        <w:rPr>
          <w:rFonts w:ascii="DengXian" w:hAnsi="DengXian" w:eastAsia="DengXian" w:cs="DengXian"/>
          <w:b/>
          <w:i w:val="false"/>
          <w:strike w:val="false"/>
          <w:color w:val="000000"/>
          <w:sz w:val="21"/>
          <w:u w:val="none"/>
        </w:rPr>
        <w:t>|</w:t>
      </w:r>
      <w:r>
        <w:rPr>
          <w:rFonts w:ascii="DengXian" w:hAnsi="DengXian" w:eastAsia="DengXian" w:cs="DengXian"/>
          <w:i w:val="false"/>
          <w:strike w:val="false"/>
          <w:color w:val="000000"/>
          <w:sz w:val="21"/>
          <w:u w:val="none"/>
        </w:rPr>
        <w:t>在血管和平滑肌细胞中调节血压和血管结构。对抗高血压时，参与动脉的结构重塑</w:t>
      </w:r>
      <w:r>
        <w:rPr>
          <w:rFonts w:ascii="DengXian" w:hAnsi="DengXian" w:eastAsia="DengXian" w:cs="DengXian"/>
          <w:b/>
          <w:i w:val="false"/>
          <w:strike w:val="false"/>
          <w:color w:val="000000"/>
          <w:sz w:val="21"/>
          <w:u w:val="none"/>
        </w:rPr>
        <w:t>独特结构:</w:t>
      </w:r>
      <w:r>
        <w:rPr>
          <w:rFonts w:ascii="DengXian" w:hAnsi="DengXian" w:eastAsia="DengXian" w:cs="DengXian"/>
          <w:i w:val="false"/>
          <w:strike w:val="false"/>
          <w:color w:val="000000"/>
          <w:sz w:val="21"/>
          <w:u w:val="none"/>
        </w:rPr>
        <w:t>巨大的跨膜区域和</w:t>
      </w:r>
      <w:r>
        <w:rPr>
          <w:rFonts w:ascii="DengXian" w:hAnsi="DengXian" w:eastAsia="DengXian" w:cs="DengXian"/>
          <w:b/>
          <w:i w:val="false"/>
          <w:strike w:val="false"/>
          <w:color w:val="000000"/>
          <w:sz w:val="21"/>
          <w:u w:val="none"/>
        </w:rPr>
        <w:t>三叶片</w:t>
      </w:r>
      <w:r>
        <w:rPr>
          <w:rFonts w:ascii="DengXian" w:hAnsi="DengXian" w:eastAsia="DengXian" w:cs="DengXian"/>
          <w:i w:val="false"/>
          <w:strike w:val="false"/>
          <w:color w:val="000000"/>
          <w:sz w:val="21"/>
          <w:u w:val="none"/>
        </w:rPr>
        <w:t>的传感器结构。</w:t>
      </w:r>
      <w:r>
        <w:rPr>
          <w:rFonts w:ascii="DengXian" w:hAnsi="DengXian" w:eastAsia="DengXian" w:cs="DengXian"/>
          <w:b/>
          <w:i w:val="false"/>
          <w:strike w:val="false"/>
          <w:color w:val="000000"/>
          <w:sz w:val="21"/>
          <w:u w:val="none"/>
        </w:rPr>
        <w:t>形态</w:t>
      </w:r>
      <w:r>
        <w:rPr>
          <w:rFonts w:ascii="DengXian" w:hAnsi="DengXian" w:eastAsia="DengXian" w:cs="DengXian"/>
          <w:i w:val="false"/>
          <w:strike w:val="false"/>
          <w:color w:val="000000"/>
          <w:sz w:val="21"/>
          <w:u w:val="none"/>
        </w:rPr>
        <w:t>:形成中央离子通道的三聚体结构。</w:t>
      </w:r>
      <w:r>
        <w:rPr>
          <w:rFonts w:ascii="DengXian" w:hAnsi="DengXian" w:eastAsia="DengXian" w:cs="DengXian"/>
          <w:b/>
          <w:i w:val="false"/>
          <w:strike w:val="false"/>
          <w:color w:val="000000"/>
          <w:sz w:val="21"/>
          <w:u w:val="none"/>
        </w:rPr>
        <w:t>功能障碍影响Piezo1</w:t>
      </w:r>
      <w:r>
        <w:rPr>
          <w:rFonts w:ascii="DengXian" w:hAnsi="DengXian" w:eastAsia="DengXian" w:cs="DengXian"/>
          <w:i w:val="false"/>
          <w:strike w:val="false"/>
          <w:color w:val="000000"/>
          <w:sz w:val="21"/>
          <w:u w:val="none"/>
        </w:rPr>
        <w:t>:功能障碍可能导致血压调节异常。</w:t>
      </w:r>
      <w:r>
        <w:rPr>
          <w:rFonts w:ascii="DengXian" w:hAnsi="DengXian" w:eastAsia="DengXian" w:cs="DengXian"/>
          <w:b/>
          <w:i w:val="false"/>
          <w:strike w:val="false"/>
          <w:color w:val="000000"/>
          <w:sz w:val="21"/>
          <w:u w:val="none"/>
        </w:rPr>
        <w:t>Piezo2:</w:t>
      </w:r>
      <w:r>
        <w:rPr>
          <w:rFonts w:ascii="DengXian" w:hAnsi="DengXian" w:eastAsia="DengXian" w:cs="DengXian"/>
          <w:i w:val="false"/>
          <w:strike w:val="false"/>
          <w:color w:val="000000"/>
          <w:sz w:val="21"/>
          <w:u w:val="none"/>
        </w:rPr>
        <w:t>功能障碍可能影响触觉传感，包括质地辨识和振动感知。</w:t>
      </w:r>
      <w:r>
        <w:rPr>
          <w:rFonts w:ascii="DengXian" w:hAnsi="DengXian" w:eastAsia="DengXian" w:cs="DengXian"/>
          <w:b/>
          <w:i w:val="false"/>
          <w:strike w:val="false"/>
          <w:color w:val="000000"/>
          <w:sz w:val="21"/>
          <w:u w:val="none"/>
        </w:rPr>
        <w:t>疾病:</w:t>
      </w:r>
      <w:r>
        <w:rPr>
          <w:rFonts w:ascii="DengXian" w:hAnsi="DengXian" w:eastAsia="DengXian" w:cs="DengXian"/>
          <w:i w:val="false"/>
          <w:strike w:val="false"/>
          <w:color w:val="000000"/>
          <w:sz w:val="21"/>
          <w:u w:val="none"/>
        </w:rPr>
        <w:t>功能异常与多种疾病相关，如神经病理性疼痛和骨骼发育异常。Piezo2的功能损失变异与触觉和本体感觉的丧失相关，导致协调障碍。</w:t>
      </w:r>
    </w:p>
    <w:p>
      <w:pPr>
        <w:numPr/>
        <w:pBdr/>
        <w:jc w:val="both"/>
        <w:rPr>
          <w:i w:val="false"/>
          <w:strike w:val="false"/>
          <w:spacing w:val="0"/>
          <w:u w:val="none"/>
        </w:rPr>
      </w:pPr>
      <w:r>
        <w:rPr>
          <w:i w:val="false"/>
          <w:strike w:val="false"/>
          <w:spacing w:val="0"/>
          <w:u w:val="none"/>
        </w:rPr>
        <w:t>Piezo1和Piezo2通道是一种高度特殊化的机械敏感离子通道家族，它们都具有特殊的结构特征，包括大的螺旋桨结构和许多跨膜区域。这些结构特征使得Piezo通道能够感知和响应机械拉伸和压力的变化。</w:t>
      </w:r>
    </w:p>
    <w:p>
      <w:pPr>
        <w:numPr/>
        <w:pBdr>
          <w:bottom/>
        </w:pBdr>
        <w:jc w:val="both"/>
        <w:rPr>
          <w:i w:val="false"/>
          <w:strike w:val="false"/>
          <w:spacing w:val="0"/>
          <w:u w:val="none"/>
        </w:rPr>
      </w:pPr>
      <w:r>
        <w:rPr>
          <w:i w:val="false"/>
          <w:strike w:val="false"/>
          <w:spacing w:val="0"/>
          <w:u w:val="none"/>
        </w:rPr>
        <w:t>Piezo1和Piezo2的突变可能导致多种疾病，其中包括Distal Arthrogryposis</w:t>
      </w:r>
    </w:p>
    <w:p>
      <w:pPr>
        <w:numPr/>
        <w:pBdr/>
        <w:jc w:val="both"/>
        <w:rPr>
          <w:i w:val="false"/>
          <w:strike w:val="false"/>
          <w:spacing w:val="0"/>
          <w:u w:val="none"/>
        </w:rPr>
      </w:pPr>
      <w:r>
        <w:rPr>
          <w:i w:val="false"/>
          <w:strike w:val="false"/>
          <w:spacing w:val="0"/>
          <w:u w:val="none"/>
        </w:rPr>
        <w:t>Piezo2通道在神经病痛患者的体感功能中的作用：通过调节机械感知在感知和调节神经元的活动中发挥作用，可能影响神经信号传导和感觉神经元的功能。</w:t>
      </w:r>
    </w:p>
    <w:p>
      <w:pPr>
        <w:numPr/>
        <w:pBdr/>
        <w:jc w:val="both"/>
        <w:rPr>
          <w:i w:val="false"/>
          <w:strike w:val="false"/>
          <w:spacing w:val="0"/>
          <w:u w:val="none"/>
        </w:rPr>
      </w:pPr>
      <w:r>
        <w:rPr>
          <w:i w:val="false"/>
          <w:strike w:val="false"/>
          <w:spacing w:val="0"/>
          <w:u w:val="none"/>
        </w:rPr>
        <w:t>Piezo2通道与Proprioception相关，可能导致的症状，如肌肉萎缩、呼吸困难等，</w:t>
      </w:r>
    </w:p>
    <w:p>
      <w:pPr>
        <w:numPr/>
        <w:pBdr/>
        <w:jc w:val="both"/>
        <w:rPr>
          <w:i w:val="false"/>
          <w:strike w:val="false"/>
          <w:spacing w:val="0"/>
          <w:u w:val="none"/>
        </w:rPr>
      </w:pPr>
      <w:r>
        <w:rPr>
          <w:i w:val="false"/>
          <w:strike w:val="false"/>
          <w:spacing w:val="0"/>
          <w:u w:val="none"/>
        </w:rPr>
        <w:t>TRPV1通道在热量感知中的重要性：它作为热敏感受器，能够检测和转导热量刺激的信号。TRPV1通道在感知热烈和热痛方面发挥关键作用，不仅参与对有害热量的感知，还参与对无害热量的检测。通过激活TRPV1通道，热量信息可以转化为神经脉冲，使我们能够感知和适应温度的变化。</w:t>
      </w:r>
    </w:p>
    <w:p>
      <w:pPr>
        <w:numPr/>
        <w:pBdr>
          <w:bottom/>
        </w:pBdr>
        <w:jc w:val="both"/>
        <w:rPr>
          <w:i w:val="false"/>
          <w:strike w:val="false"/>
          <w:spacing w:val="0"/>
          <w:u w:val="none"/>
        </w:rPr>
      </w:pPr>
      <w:r>
        <w:rPr>
          <w:i w:val="false"/>
          <w:strike w:val="false"/>
          <w:spacing w:val="0"/>
          <w:u w:val="none"/>
        </w:rPr>
        <w:t>TRP通道特别是TRPV1通道被发现对机械刺激和温度敏感，参与感知机械力和热量的转导。另一方面，Piezo通道，特别是Piezo2通道，在感知和转导机械刺激方面发挥着关键作用。它们帮助感知身体周围的压力、挤压和其他机械刺激，并将这些机械信号转换为神经信号。</w:t>
      </w:r>
    </w:p>
    <w:p>
      <w:pPr>
        <w:numPr/>
        <w:pBdr/>
        <w:jc w:val="both"/>
        <w:rPr>
          <w:i w:val="false"/>
          <w:strike w:val="false"/>
          <w:spacing w:val="0"/>
          <w:u w:val="none"/>
        </w:rPr>
      </w:pPr>
      <w:r>
        <w:rPr>
          <w:i w:val="false"/>
          <w:strike w:val="false"/>
          <w:spacing w:val="0"/>
          <w:u w:val="none"/>
        </w:rPr>
        <w:t>在神经生物学和疾病机制中，TRP和Piezo通道的异常功能可能导致感知障碍、疼痛过敏和其他神经系统疾病。</w:t>
      </w:r>
    </w:p>
    <w:p>
      <w:pPr>
        <w:numPr/>
        <w:pBdr/>
        <w:jc w:val="both"/>
        <w:rPr>
          <w:i w:val="false"/>
          <w:strike w:val="false"/>
          <w:spacing w:val="0"/>
          <w:u w:val="none"/>
        </w:rPr>
      </w:pPr>
      <w:r>
        <w:rPr>
          <w:i w:val="false"/>
          <w:strike w:val="false"/>
          <w:spacing w:val="0"/>
          <w:u w:val="none"/>
        </w:rPr>
        <w:t>A型神经元能够感知外部环境产生的机械刺激，并将这些信号传递至大脑，使我们能够感知和应对来自环境的压力。</w:t>
      </w:r>
    </w:p>
    <w:p>
      <w:pPr>
        <w:rPr>
          <w:i w:val="false"/>
          <w:strike w:val="false"/>
          <w:spacing w:val="0"/>
          <w:u w:val="none"/>
        </w:rPr>
      </w:pPr>
    </w:p>
    <w:p>
      <w:pPr>
        <w:rPr>
          <w:i w:val="false"/>
          <w:strike w:val="false"/>
          <w:spacing w:val="0"/>
          <w:u w:val="none"/>
        </w:rPr>
      </w:pPr>
    </w:p>
    <w:sectPr>
      <w:pgSz w:w="11906" w:h="16838"/>
      <w:pgMar w:top="1361" w:right="1417" w:bottom="1361" w:left="1417" w:header="712" w:footer="853"/>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0">
      <w:start w:val="1"/>
      <w:numFmt w:val="decimal"/>
      <w:lvlText w:val="%1."/>
      <w:lvlJc w:val="left"/>
      <w:pPr>
        <w:ind w:left="336" w:hanging="336"/>
      </w:pPr>
      <w:rPr/>
    </w:lvl>
    <w:lvl w:ilvl="4">
      <w:start w:val="1"/>
      <w:numFmt w:val="lowerLetter"/>
      <w:lvlText w:val="%5."/>
      <w:lvlJc w:val="left"/>
      <w:pPr>
        <w:ind w:left="2096" w:hanging="336"/>
      </w:pPr>
    </w:lvl>
    <w:lvl w:ilvl="1">
      <w:start w:val="1"/>
      <w:numFmt w:val="lowerLetter"/>
      <w:lvlText w:val="%2."/>
      <w:lvlJc w:val="left"/>
      <w:pPr>
        <w:ind w:left="776" w:hanging="336"/>
      </w:pPr>
    </w:lvl>
    <w:lvl w:ilvl="3">
      <w:start w:val="1"/>
      <w:numFmt w:val="decimal"/>
      <w:lvlText w:val="%4."/>
      <w:lvlJc w:val="left"/>
      <w:pPr>
        <w:ind w:left="1656" w:hanging="336"/>
      </w:pPr>
    </w:lvl>
    <w:lvl w:ilvl="2">
      <w:start w:val="1"/>
      <w:numFmt w:val="lowerRoman"/>
      <w:lvlText w:val="%3."/>
      <w:lvlJc w:val="left"/>
      <w:pPr>
        <w:ind w:left="1216" w:hanging="336"/>
      </w:pPr>
    </w:lvl>
    <w:lvl w:ilvl="5">
      <w:start w:val="1"/>
      <w:numFmt w:val="lowerRoman"/>
      <w:lvlText w:val="%6."/>
      <w:lvlJc w:val="left"/>
      <w:pPr>
        <w:ind w:left="2536" w:hanging="336"/>
      </w:pPr>
    </w:lvl>
    <w:lvl w:ilvl="8">
      <w:start w:val="1"/>
      <w:numFmt w:val="lowerRoman"/>
      <w:lvlText w:val="%9."/>
      <w:lvlJc w:val="left"/>
      <w:pPr>
        <w:ind w:left="3856" w:hanging="336"/>
      </w:pPr>
    </w:lvl>
    <w:lvl w:ilvl="6">
      <w:start w:val="1"/>
      <w:numFmt w:val="decimal"/>
      <w:lvlText w:val="%7."/>
      <w:lvlJc w:val="left"/>
      <w:pPr>
        <w:ind w:left="2976" w:hanging="336"/>
      </w:pPr>
    </w:lvl>
    <w:lvl w:ilvl="7">
      <w:start w:val="1"/>
      <w:numFmt w:val="lowerLetter"/>
      <w:lvlText w:val="%8."/>
      <w:lvlJc w:val="left"/>
      <w:pPr>
        <w:ind w:left="3416" w:hanging="336"/>
      </w:pPr>
    </w:lvl>
  </w:abstractNum>
  <w:num w:numId="1">
    <w:abstractNumId w:val="1"/>
  </w:num>
</w:numbering>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ahkdxm">
    <w:name w:val="Title"/>
    <w:basedOn w:val="shjalb"/>
    <w:next w:val="5znyks"/>
    <w:uiPriority w:val="9"/>
    <w:qFormat/>
    <w:pPr>
      <w:keepNext/>
      <w:keepLines/>
      <w:spacing w:before="0" w:after="0" w:line="408" w:lineRule="auto"/>
      <w:jc w:val="center"/>
      <w:outlineLvl w:val="0"/>
    </w:pPr>
    <w:rPr>
      <w:b/>
      <w:bCs/>
      <w:color w:val="1A1A1A"/>
      <w:sz w:val="48"/>
      <w:szCs w:val="48"/>
    </w:rPr>
  </w:style>
  <w:style w:type="paragraph" w:styleId="ms6luu">
    <w:name w:val="heading 2"/>
    <w:basedOn w:val="5znyks"/>
    <w:next w:val="5znyks"/>
    <w:uiPriority w:val="9"/>
    <w:qFormat/>
    <w:pPr>
      <w:keepNext/>
      <w:keepLines/>
      <w:spacing w:before="0" w:after="0" w:line="408" w:lineRule="auto"/>
      <w:outlineLvl w:val="1"/>
    </w:pPr>
    <w:rPr>
      <w:b/>
      <w:bCs/>
      <w:color w:val="1A1A1A"/>
      <w:sz w:val="32"/>
      <w:szCs w:val="32"/>
    </w:rPr>
  </w:style>
  <w:style w:type="paragraph" w:styleId="5znyks" w:default="true">
    <w:name w:val="Normal"/>
    <w:basedOn w:val=""/>
    <w:next w:val=""/>
    <w:pPr>
      <w:widowControl w:val="false"/>
      <w:jc w:val="left"/>
    </w:pPr>
  </w:style>
  <w:style w:type="paragraph" w:styleId="shjalb" w:default="true">
    <w:name w:val="Normal"/>
    <w:basedOn w:val=""/>
    <w:next w:val=""/>
    <w:pPr>
      <w:widowControl w:val="false"/>
      <w:jc w:val="left"/>
    </w:pPr>
  </w:style>
  <w:style w:type="paragraph" w:styleId="ztjdn5">
    <w:name w:val="heading 1"/>
    <w:basedOn w:val="5znyks"/>
    <w:next w:val="5znyks"/>
    <w:uiPriority w:val="9"/>
    <w:qFormat/>
    <w:pPr>
      <w:keepNext/>
      <w:keepLines/>
      <w:spacing w:before="0" w:after="0" w:line="408" w:lineRule="auto"/>
      <w:outlineLvl w:val="0"/>
    </w:pPr>
    <w:rPr>
      <w:b/>
      <w:bCs/>
      <w:color w:val="1A1A1A"/>
      <w:sz w:val="36"/>
      <w:szCs w:val="36"/>
    </w:rPr>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7" Type="http://schemas.openxmlformats.org/officeDocument/2006/relationships/image" Target="media/image4.png" /><Relationship Id="rId6" Type="http://schemas.openxmlformats.org/officeDocument/2006/relationships/image" Target="media/image3.png" /><Relationship Id="rId4" Type="http://schemas.openxmlformats.org/officeDocument/2006/relationships/image" Target="media/image1.png" /><Relationship Id="rId8" Type="http://schemas.openxmlformats.org/officeDocument/2006/relationships/image" Target="media/image5.jpg" /><Relationship Id="rId3" Type="http://schemas.openxmlformats.org/officeDocument/2006/relationships/numbering" Target="numbering.xml" /><Relationship Id="rId14" Type="http://schemas.openxmlformats.org/officeDocument/2006/relationships/image" Target="media/image11.png" /><Relationship Id="rId1" Type="http://schemas.openxmlformats.org/officeDocument/2006/relationships/settings" Target="settings.xml" /><Relationship Id="rId2" Type="http://schemas.openxmlformats.org/officeDocument/2006/relationships/fontTable" Target="fontTable.xml" /><Relationship Id="rId0" Type="http://schemas.openxmlformats.org/officeDocument/2006/relationships/styles" Target="styles.xml" /><Relationship Id="rId10" Type="http://schemas.openxmlformats.org/officeDocument/2006/relationships/image" Target="media/image7.png" /><Relationship Id="rId11" Type="http://schemas.openxmlformats.org/officeDocument/2006/relationships/image" Target="media/image8.png" /><Relationship Id="rId5" Type="http://schemas.openxmlformats.org/officeDocument/2006/relationships/image" Target="media/image2.png" /><Relationship Id="rId12" Type="http://schemas.openxmlformats.org/officeDocument/2006/relationships/image" Target="media/image9.png" /><Relationship Id="rId17" Type="http://schemas.openxmlformats.org/officeDocument/2006/relationships/image" Target="media/image14.png" /><Relationship Id="rId13" Type="http://schemas.openxmlformats.org/officeDocument/2006/relationships/image" Target="media/image10.png" /><Relationship Id="rId15" Type="http://schemas.openxmlformats.org/officeDocument/2006/relationships/image" Target="media/image12.png" /><Relationship Id="rId16" Type="http://schemas.openxmlformats.org/officeDocument/2006/relationships/image" Target="media/image13.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2024-05-09T06:06:23Z</dcterms:created>
  <dcterms:modified xsi:type="dcterms:W3CDTF">2024-05-09T06:06:23Z</dcterms:modified>
</cp:coreProperties>
</file>