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2" w:name="ai驱动加密货币自动化交易系统的可行性研究"/>
    <w:p>
      <w:pPr>
        <w:pStyle w:val="1"/>
      </w:pPr>
      <w:r>
        <w:rPr>
          <w:rFonts w:hint="eastAsia"/>
        </w:rPr>
        <w:t xml:space="preserve">AI驱动加密货币自动化交易系统的可行性研究</w:t>
      </w:r>
    </w:p>
    <w:bookmarkStart w:id="20" w:name="摘要"/>
    <w:p>
      <w:pPr>
        <w:pStyle w:val="2"/>
      </w:pPr>
      <w:r>
        <w:rPr>
          <w:rFonts w:hint="eastAsia"/>
        </w:rPr>
        <w:t xml:space="preserve">摘要：</w:t>
      </w:r>
    </w:p>
    <w:p>
      <w:pPr>
        <w:pStyle w:val="FirstParagraph"/>
      </w:pPr>
      <w:r>
        <w:rPr>
          <w:rFonts w:hint="eastAsia"/>
        </w:rPr>
        <w:t xml:space="preserve">本报告探讨了基于DeepSeek</w:t>
      </w:r>
      <w:r>
        <w:t xml:space="preserve"> </w:t>
      </w:r>
      <w:r>
        <w:rPr>
          <w:rFonts w:hint="eastAsia"/>
        </w:rPr>
        <w:t xml:space="preserve">API与GMGN数据构建完全由AI驱动的加密货币自动化交易工具的可行性。核心采用分层模块化的“管道-过滤器”架构，通过六大模块（数据采集、特征工程、AI决策、风险管理、订单执行、监控）实现端到端自动化流程。关键技术验证显示：DeepSeek</w:t>
      </w:r>
      <w:r>
        <w:t xml:space="preserve"> </w:t>
      </w:r>
      <w:r>
        <w:rPr>
          <w:rFonts w:hint="eastAsia"/>
        </w:rPr>
        <w:t xml:space="preserve">API凭借混合专家架构（MoE）在性能与成本上具备优势（如V3模型输出单价低至3元/百万tokens），其Alpha</w:t>
      </w:r>
      <w:r>
        <w:t xml:space="preserve"> </w:t>
      </w:r>
      <w:r>
        <w:rPr>
          <w:rFonts w:hint="eastAsia"/>
        </w:rPr>
        <w:t xml:space="preserve">Arena竞赛36%的收益印证了交易决策潜力；GMGN平台提供独特的链上信号（如“聪明钱”动向），但商业模式高度依赖市场热度（牛市日均收入50万美元</w:t>
      </w:r>
      <w:r>
        <w:t xml:space="preserve"> vs </w:t>
      </w:r>
      <w:r>
        <w:rPr>
          <w:rFonts w:hint="eastAsia"/>
        </w:rPr>
        <w:t xml:space="preserve">暴跌期97%下滑），需通过多源数据规避单点风险。</w:t>
      </w:r>
    </w:p>
    <w:p>
      <w:pPr>
        <w:pStyle w:val="BodyText"/>
      </w:pPr>
      <w:r>
        <w:rPr>
          <w:rFonts w:hint="eastAsia"/>
        </w:rPr>
        <w:t xml:space="preserve">重大挑战集中于三方面：</w:t>
      </w:r>
    </w:p>
    <w:p>
      <w:pPr>
        <w:numPr>
          <w:ilvl w:val="0"/>
          <w:numId w:val="1001"/>
        </w:numPr>
      </w:pPr>
      <w:r>
        <w:rPr>
          <w:rFonts w:hint="eastAsia"/>
          <w:b/>
          <w:bCs/>
        </w:rPr>
        <w:t xml:space="preserve">技术风险</w:t>
      </w:r>
      <w:r>
        <w:rPr>
          <w:rFonts w:hint="eastAsia"/>
        </w:rPr>
        <w:t xml:space="preserve">：LLM存在输出不确定性与幻觉，需强制结构化输出（JSON</w:t>
      </w:r>
      <w:r>
        <w:t xml:space="preserve"> </w:t>
      </w:r>
      <w:r>
        <w:rPr>
          <w:rFonts w:hint="eastAsia"/>
        </w:rPr>
        <w:t xml:space="preserve">Schema校验）及独立规则验证层确保决策可靠性；</w:t>
      </w:r>
    </w:p>
    <w:p>
      <w:pPr>
        <w:numPr>
          <w:ilvl w:val="0"/>
          <w:numId w:val="1001"/>
        </w:numPr>
      </w:pPr>
      <w:r>
        <w:rPr>
          <w:rFonts w:hint="eastAsia"/>
          <w:b/>
          <w:bCs/>
        </w:rPr>
        <w:t xml:space="preserve">财务压力</w:t>
      </w:r>
      <w:r>
        <w:rPr>
          <w:rFonts w:hint="eastAsia"/>
        </w:rPr>
        <w:t xml:space="preserve">：API调用、数据订阅与交易手续费构成持续成本，需通过异步批处理与熔断机制（如5%回撤停机）控制亏损；</w:t>
      </w:r>
    </w:p>
    <w:p>
      <w:pPr>
        <w:numPr>
          <w:ilvl w:val="0"/>
          <w:numId w:val="1001"/>
        </w:numPr>
      </w:pPr>
      <w:r>
        <w:rPr>
          <w:rFonts w:hint="eastAsia"/>
          <w:b/>
          <w:bCs/>
        </w:rPr>
        <w:t xml:space="preserve">合规复杂性</w:t>
      </w:r>
      <w:r>
        <w:rPr>
          <w:rFonts w:hint="eastAsia"/>
        </w:rPr>
        <w:t xml:space="preserve">：全球监管差异显著（欧盟MiCA允许/中国境内禁止），开发者须严格遵循属地法规。</w:t>
      </w:r>
    </w:p>
    <w:p>
      <w:pPr>
        <w:pStyle w:val="FirstParagraph"/>
      </w:pPr>
      <w:r>
        <w:rPr>
          <w:rFonts w:hint="eastAsia"/>
        </w:rPr>
        <w:t xml:space="preserve">结论指出：该项目作为业余探索具备技术可行性，但成功依赖对核心挑战的系统性应对。建议优先投入AI决策优化（精细化提示词工程）与动态风险管理（CVaR理论驱动的止损/仓位策略），并依托开源框架（如Freqtrade）加速开发，审慎验证盈利模型而非追求短期商业回报。</w:t>
      </w:r>
    </w:p>
    <w:bookmarkEnd w:id="20"/>
    <w:bookmarkStart w:id="23" w:name="项目概述与核心架构"/>
    <w:p>
      <w:pPr>
        <w:pStyle w:val="2"/>
      </w:pPr>
      <w:r>
        <w:t xml:space="preserve">1. </w:t>
      </w:r>
      <w:r>
        <w:rPr>
          <w:rFonts w:hint="eastAsia"/>
        </w:rPr>
        <w:t xml:space="preserve">项目概述与核心架构</w:t>
      </w:r>
    </w:p>
    <w:p>
      <w:pPr>
        <w:pStyle w:val="FirstParagraph"/>
      </w:pPr>
      <w:r>
        <w:rPr>
          <w:rFonts w:hint="eastAsia"/>
        </w:rPr>
        <w:t xml:space="preserve">在当今金融市场高度复杂且竞争激烈的环境下，量化交易作为一种基于数学模型和计算机算法的交易方式，正逐渐成为众多投资者和金融机构的重要选择。它能够快速处理海量数据，精准执行交易策略，从而在瞬息万变的市场中捕捉机会、规避风险。本报告旨在深入探讨并系统性地构建一个前沿的量化交易系统——一个完全由人工智能（AI）驱动的加密货币自动化交易工具。该项目不仅是对现有技术的整合与应用，更是一次对AI在金融决策领域潜力的深度探索。本章将作为报告的开篇，首先明确项目的核心目标与定位，随后详细阐述其采用的分层、模块化系统架构，为后续章节的技术选型与实现细节奠定坚实的理论基础。</w:t>
      </w:r>
    </w:p>
    <w:bookmarkStart w:id="21" w:name="项目目标与定位"/>
    <w:p>
      <w:pPr>
        <w:pStyle w:val="3"/>
      </w:pPr>
      <w:r>
        <w:t xml:space="preserve">1.1 </w:t>
      </w:r>
      <w:r>
        <w:rPr>
          <w:rFonts w:hint="eastAsia"/>
        </w:rPr>
        <w:t xml:space="preserve">项目目标与定位</w:t>
      </w:r>
    </w:p>
    <w:p>
      <w:pPr>
        <w:pStyle w:val="FirstParagraph"/>
      </w:pPr>
      <w:r>
        <w:rPr>
          <w:rFonts w:hint="eastAsia"/>
        </w:rPr>
        <w:t xml:space="preserve">本项目的最终形态，是一个面向个人用户的、完全由AI驱动的加密货币自动化交易工具，其核心目标是在长期维度内实现稳定且可持续的盈利。与传统的量化交易机器人不同，后者通常依赖预设的数学模型和技术指标来生成交易信号，而本系统将其决策逻辑的“大脑”完全托付给大型语言模型（LLM），旨在利用其强大的推理、学习和知识整合能力，突破传统量化框架的限制，实现更智能、更具适应性的交易决策。</w:t>
      </w:r>
    </w:p>
    <w:p>
      <w:pPr>
        <w:pStyle w:val="BodyText"/>
      </w:pPr>
      <w:r>
        <w:rPr>
          <w:rFonts w:hint="eastAsia"/>
        </w:rPr>
        <w:t xml:space="preserve">在定位上，本项目明确将自身界定为一次“业余兴趣探索”，而非一个复杂的商业模型。这意味着我们的开发将聚焦于核心功能的实现与技术逻辑的验证，旨在为个人投资者提供一个可定制、可理解的自动化交易平台。这种定位有助于我们在开发初期集中资源，深入研究AI决策的核心技术，同时也为未来的功能扩展和商业模式创新保留了足够的灵活性。</w:t>
      </w:r>
    </w:p>
    <w:bookmarkEnd w:id="21"/>
    <w:bookmarkStart w:id="22" w:name="系统总体架构分层与模块化设计"/>
    <w:p>
      <w:pPr>
        <w:pStyle w:val="3"/>
      </w:pPr>
      <w:r>
        <w:t xml:space="preserve">1.2 </w:t>
      </w:r>
      <w:r>
        <w:rPr>
          <w:rFonts w:hint="eastAsia"/>
        </w:rPr>
        <w:t xml:space="preserve">系统总体架构：分层与模块化设计</w:t>
      </w:r>
    </w:p>
    <w:p>
      <w:pPr>
        <w:pStyle w:val="FirstParagraph"/>
      </w:pPr>
      <w:r>
        <w:rPr>
          <w:rFonts w:hint="eastAsia"/>
        </w:rPr>
        <w:t xml:space="preserve">为了实现上述目标，本项目采用了一种严谨的、基于数据流的“管道-过滤器”（Pipe-and-Filter）架构模式。该模式的核心思想是将复杂的数据处理任务分解为一系列独立的、可重用的“过滤器”（即系统模块），数据通过“管道”在这些模块间线性流动和转换。这种设计确保了系统的高内聚、低耦合特性，使得每个模块都可以独立开发、测试、维护和复用，极大地提升了系统的灵活性与可扩展性。</w:t>
      </w:r>
    </w:p>
    <w:p>
      <w:pPr>
        <w:pStyle w:val="BodyText"/>
      </w:pPr>
      <w:r>
        <w:rPr>
          <w:rFonts w:hint="eastAsia"/>
        </w:rPr>
        <w:t xml:space="preserve">系统的整体架构蓝图由六大核心模块构成，它们共同构成了一个从数据输入到交易执行的完整端到端自动化流程。</w:t>
      </w:r>
    </w:p>
    <w:p>
      <w:pPr>
        <w:numPr>
          <w:ilvl w:val="0"/>
          <w:numId w:val="1002"/>
        </w:numPr>
      </w:pPr>
      <w:r>
        <w:rPr>
          <w:rFonts w:hint="eastAsia"/>
          <w:b/>
          <w:bCs/>
        </w:rPr>
        <w:t xml:space="preserve">数据采集模块</w:t>
      </w:r>
      <w:r>
        <w:t xml:space="preserve"> </w:t>
      </w:r>
      <w:r>
        <w:rPr>
          <w:rFonts w:hint="eastAsia"/>
        </w:rPr>
        <w:t xml:space="preserve">：作为系统的“感官”，负责从选定的数据源（如加密货币交易所、链上数据平台GMGN等）实时或定期获取原始市场数据，包括但不限于K线图、交易深度、订单簿快照等。</w:t>
      </w:r>
    </w:p>
    <w:p>
      <w:pPr>
        <w:numPr>
          <w:ilvl w:val="0"/>
          <w:numId w:val="1002"/>
        </w:numPr>
      </w:pPr>
      <w:r>
        <w:rPr>
          <w:rFonts w:hint="eastAsia"/>
          <w:b/>
          <w:bCs/>
        </w:rPr>
        <w:t xml:space="preserve">特征工程模块</w:t>
      </w:r>
      <w:r>
        <w:t xml:space="preserve"> </w:t>
      </w:r>
      <w:r>
        <w:rPr>
          <w:rFonts w:hint="eastAsia"/>
        </w:rPr>
        <w:t xml:space="preserve">：作为系统的“数据预处理中心”，负责对采集到的原始数据进行清洗、去噪、归一化等处理，并从中提取出可供AI模型理解和分析的关键特征向量。</w:t>
      </w:r>
    </w:p>
    <w:p>
      <w:pPr>
        <w:numPr>
          <w:ilvl w:val="0"/>
          <w:numId w:val="1002"/>
        </w:numPr>
      </w:pPr>
      <w:r>
        <w:rPr>
          <w:rFonts w:hint="eastAsia"/>
          <w:b/>
          <w:bCs/>
        </w:rPr>
        <w:t xml:space="preserve">AI决策模块</w:t>
      </w:r>
      <w:r>
        <w:t xml:space="preserve"> </w:t>
      </w:r>
      <w:r>
        <w:rPr>
          <w:rFonts w:hint="eastAsia"/>
        </w:rPr>
        <w:t xml:space="preserve">：作为系统的“大脑”，是本项目的技术核心。它接收特征工程模块输出的特征向量，并利用大型语言模型（如DeepSeek</w:t>
      </w:r>
      <w:r>
        <w:t xml:space="preserve"> </w:t>
      </w:r>
      <w:r>
        <w:rPr>
          <w:rFonts w:hint="eastAsia"/>
        </w:rPr>
        <w:t xml:space="preserve">API）进行复杂的逻辑推理和决策，最终输出结构化的交易信号（如买入、卖出、持有）。</w:t>
      </w:r>
    </w:p>
    <w:p>
      <w:pPr>
        <w:numPr>
          <w:ilvl w:val="0"/>
          <w:numId w:val="1002"/>
        </w:numPr>
      </w:pPr>
      <w:r>
        <w:rPr>
          <w:rFonts w:hint="eastAsia"/>
          <w:b/>
          <w:bCs/>
        </w:rPr>
        <w:t xml:space="preserve">风险管理与策略层</w:t>
      </w:r>
      <w:r>
        <w:t xml:space="preserve"> </w:t>
      </w:r>
      <w:r>
        <w:rPr>
          <w:rFonts w:hint="eastAsia"/>
        </w:rPr>
        <w:t xml:space="preserve">：作为系统的“风控中枢”，负责对AI决策模块输出的交易信号进行风险评估与过滤。它基于预设的风险管理策略（如动态止损止盈、仓位管理），对信号进行再处理，确保任何执行的交易都在用户可接受的风险敞口之内。</w:t>
      </w:r>
    </w:p>
    <w:p>
      <w:pPr>
        <w:numPr>
          <w:ilvl w:val="0"/>
          <w:numId w:val="1002"/>
        </w:numPr>
      </w:pPr>
      <w:r>
        <w:rPr>
          <w:rFonts w:hint="eastAsia"/>
          <w:b/>
          <w:bCs/>
        </w:rPr>
        <w:t xml:space="preserve">订单执行模块</w:t>
      </w:r>
      <w:r>
        <w:t xml:space="preserve"> </w:t>
      </w:r>
      <w:r>
        <w:rPr>
          <w:rFonts w:hint="eastAsia"/>
        </w:rPr>
        <w:t xml:space="preserve">：作为系统的“执行器”，负责将风险管理模块最终确认的交易指令，通过调用加密货币交易所的API，转化为实际的市场交易行为，如限价单、市价单的发送与管理。</w:t>
      </w:r>
    </w:p>
    <w:p>
      <w:pPr>
        <w:numPr>
          <w:ilvl w:val="0"/>
          <w:numId w:val="1002"/>
        </w:numPr>
      </w:pPr>
      <w:r>
        <w:rPr>
          <w:rFonts w:hint="eastAsia"/>
          <w:b/>
          <w:bCs/>
        </w:rPr>
        <w:t xml:space="preserve">监控与性能模块</w:t>
      </w:r>
      <w:r>
        <w:t xml:space="preserve"> </w:t>
      </w:r>
      <w:r>
        <w:rPr>
          <w:rFonts w:hint="eastAsia"/>
        </w:rPr>
        <w:t xml:space="preserve">：作为系统的“仪表盘”，负责记录和分析系统运行过程中的关键日志、交易绩效（如累计盈亏、夏普比率）以及模块间的数据流，为用户提供实时的系统状态反馈和策略优化依据。</w:t>
      </w:r>
    </w:p>
    <w:p>
      <w:pPr>
        <w:pStyle w:val="FirstParagraph"/>
      </w:pPr>
      <w:r>
        <w:rPr>
          <w:rFonts w:hint="eastAsia"/>
        </w:rPr>
        <w:t xml:space="preserve">这种模块化的设计，通过消息队列等机制实现了模块间的异步通信，避免了因某个模块的性能瓶颈或故障而导致整个系统的瘫痪，从而提升了系统的整体健壮性。</w:t>
      </w:r>
    </w:p>
    <w:p>
      <w:pPr>
        <w:pStyle w:val="BodyText"/>
      </w:pPr>
      <w:r>
        <w:rPr>
          <w:rFonts w:hint="eastAsia"/>
        </w:rPr>
        <w:t xml:space="preserve">为了更清晰地理解本项目架构的选择，下表对比了两种主流的自动化交易系统架构模式：</w:t>
      </w:r>
    </w:p>
    <w:tbl>
      <w:tblPr>
        <w:tblStyle w:val="TableCustom"/>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rPr>
                <w:rFonts w:hint="eastAsia"/>
              </w:rPr>
              <w:t xml:space="preserve">架构模式</w:t>
            </w:r>
          </w:p>
        </w:tc>
        <w:tc>
          <w:tcPr/>
          <w:p>
            <w:pPr>
              <w:pStyle w:val="Compact"/>
            </w:pPr>
            <w:r>
              <w:rPr>
                <w:rFonts w:hint="eastAsia"/>
              </w:rPr>
              <w:t xml:space="preserve">核心思想</w:t>
            </w:r>
          </w:p>
        </w:tc>
        <w:tc>
          <w:tcPr/>
          <w:p>
            <w:pPr>
              <w:pStyle w:val="Compact"/>
            </w:pPr>
            <w:r>
              <w:rPr>
                <w:rFonts w:hint="eastAsia"/>
              </w:rPr>
              <w:t xml:space="preserve">主要优势</w:t>
            </w:r>
          </w:p>
        </w:tc>
        <w:tc>
          <w:tcPr/>
          <w:p>
            <w:pPr>
              <w:pStyle w:val="Compact"/>
            </w:pPr>
            <w:r>
              <w:rPr>
                <w:rFonts w:hint="eastAsia"/>
              </w:rPr>
              <w:t xml:space="preserve">主要挑战</w:t>
            </w:r>
          </w:p>
        </w:tc>
      </w:tr>
      <w:tr>
        <w:tc>
          <w:tcPr/>
          <w:p>
            <w:pPr>
              <w:pStyle w:val="Compact"/>
            </w:pPr>
            <w:r>
              <w:rPr>
                <w:rFonts w:hint="eastAsia"/>
                <w:b/>
                <w:bCs/>
              </w:rPr>
              <w:t xml:space="preserve">事件驱动架构</w:t>
            </w:r>
          </w:p>
        </w:tc>
        <w:tc>
          <w:tcPr/>
          <w:p>
            <w:pPr>
              <w:pStyle w:val="Compact"/>
            </w:pPr>
            <w:r>
              <w:rPr>
                <w:rFonts w:hint="eastAsia"/>
              </w:rPr>
              <w:t xml:space="preserve">系统围绕市场事件（如价格变动、订单更新）构建，事件产生后被传递给相应的处理器进行处理。</w:t>
            </w:r>
          </w:p>
        </w:tc>
        <w:tc>
          <w:tcPr/>
          <w:p>
            <w:pPr>
              <w:pStyle w:val="Compact"/>
            </w:pPr>
            <w:r>
              <w:rPr>
                <w:rFonts w:hint="eastAsia"/>
              </w:rPr>
              <w:t xml:space="preserve">能够灵活响应市场的异步变化，适合处理实时数据流和复杂的交易逻辑。</w:t>
            </w:r>
          </w:p>
        </w:tc>
        <w:tc>
          <w:tcPr/>
          <w:p>
            <w:pPr>
              <w:pStyle w:val="Compact"/>
            </w:pPr>
            <w:r>
              <w:rPr>
                <w:rFonts w:hint="eastAsia"/>
              </w:rPr>
              <w:t xml:space="preserve">系统的并发性和事件处理的顺序性需要仔细设计，以避免竞态条件和逻辑错误。</w:t>
            </w:r>
          </w:p>
        </w:tc>
      </w:tr>
      <w:tr>
        <w:tc>
          <w:tcPr/>
          <w:p>
            <w:pPr>
              <w:pStyle w:val="Compact"/>
            </w:pPr>
            <w:r>
              <w:rPr>
                <w:rFonts w:hint="eastAsia"/>
                <w:b/>
                <w:bCs/>
              </w:rPr>
              <w:t xml:space="preserve">管道-过滤器架构</w:t>
            </w:r>
          </w:p>
        </w:tc>
        <w:tc>
          <w:tcPr/>
          <w:p>
            <w:pPr>
              <w:pStyle w:val="Compact"/>
            </w:pPr>
            <w:r>
              <w:rPr>
                <w:rFonts w:hint="eastAsia"/>
              </w:rPr>
              <w:t xml:space="preserve">将复杂的数据处理任务分解为一系列独立的、可重用的“过滤器”（模块），数据通过“管道”在这些模块间线性流动和转换。</w:t>
            </w:r>
          </w:p>
        </w:tc>
        <w:tc>
          <w:tcPr/>
          <w:p>
            <w:pPr>
              <w:pStyle w:val="Compact"/>
            </w:pPr>
            <w:r>
              <w:rPr>
                <w:rFonts w:hint="eastAsia"/>
              </w:rPr>
              <w:t xml:space="preserve">模块（过滤器）具有高内聚、低耦合的特点，易于独立开发、测试、维护和复用；天然支持并行执行，可提升系统吞吐量。</w:t>
            </w:r>
          </w:p>
        </w:tc>
        <w:tc>
          <w:tcPr/>
          <w:p>
            <w:pPr>
              <w:pStyle w:val="Compact"/>
            </w:pPr>
            <w:r>
              <w:rPr>
                <w:rFonts w:hint="eastAsia"/>
              </w:rPr>
              <w:t xml:space="preserve">数据格式需要在各模块间保持一致，增加了设计复杂性；系统整体性能受限于最慢的模块。</w:t>
            </w:r>
          </w:p>
        </w:tc>
      </w:tr>
    </w:tbl>
    <w:p>
      <w:pPr>
        <w:pStyle w:val="BodyText"/>
      </w:pPr>
      <w:r>
        <w:rPr>
          <w:rFonts w:hint="eastAsia"/>
        </w:rPr>
        <w:t xml:space="preserve">由此可见，</w:t>
      </w:r>
      <w:r>
        <w:rPr>
          <w:rFonts w:hint="eastAsia"/>
        </w:rPr>
        <w:t xml:space="preserve">“管道-过滤器”</w:t>
      </w:r>
      <w:r>
        <w:rPr>
          <w:rFonts w:hint="eastAsia"/>
        </w:rPr>
        <w:t xml:space="preserve">架构虽然在数据格式标准化和性能优化上存在挑战，但其带来的模块化、可维护性和可扩展性优势，使其更适合作为本项目的长期演进蓝图。它允许我们在未来独立升级任何一个模块，例如替换更先进的AI模型或优化数据采集策略，而无需对整个系统进行颠覆性重构。这正是我们在构建一个旨在持续学习和适应市场变化的AI交易系统时，所追求的核心设计哲学。</w:t>
      </w:r>
    </w:p>
    <w:bookmarkEnd w:id="22"/>
    <w:bookmarkEnd w:id="23"/>
    <w:bookmarkStart w:id="27" w:name="核心数据源gmgn平台的深度解析"/>
    <w:p>
      <w:pPr>
        <w:pStyle w:val="2"/>
      </w:pPr>
      <w:r>
        <w:t xml:space="preserve">2. </w:t>
      </w:r>
      <w:r>
        <w:rPr>
          <w:rFonts w:hint="eastAsia"/>
        </w:rPr>
        <w:t xml:space="preserve">核心数据源：GMGN平台的深度解析</w:t>
      </w:r>
    </w:p>
    <w:p>
      <w:pPr>
        <w:pStyle w:val="FirstParagraph"/>
      </w:pPr>
      <w:r>
        <w:rPr>
          <w:rFonts w:hint="eastAsia"/>
        </w:rPr>
        <w:t xml:space="preserve">在第一章所构建的系统架构蓝图中，数据采集模块是整个AI交易决策链的起点。一个高质量、高维度的数据源，是训练智能模型、捕捉市场信号、最终实现盈利目标的基石。本报告将聚焦于一个在加密货币社区，特别是在Meme币交易领域备受关注的平台——GMGN，对其作为本项目核心数据源的可行性、实用性与潜在风险进行深度解析。我们将从其独特的数据能力出发，客观评估其商业模式的稳定性，并最终探讨在技术实现层面获取其数据的现实路径与合规考量。</w:t>
      </w:r>
    </w:p>
    <w:bookmarkStart w:id="24" w:name="gmgn的核心价值与数据能力"/>
    <w:p>
      <w:pPr>
        <w:pStyle w:val="3"/>
      </w:pPr>
      <w:r>
        <w:t xml:space="preserve">2.1 </w:t>
      </w:r>
      <w:r>
        <w:rPr>
          <w:rFonts w:hint="eastAsia"/>
        </w:rPr>
        <w:t xml:space="preserve">GMGN的核心价值与数据能力</w:t>
      </w:r>
    </w:p>
    <w:p>
      <w:pPr>
        <w:pStyle w:val="FirstParagraph"/>
      </w:pPr>
      <w:r>
        <w:rPr>
          <w:rFonts w:hint="eastAsia"/>
        </w:rPr>
        <w:t xml:space="preserve">GMGN平台的核心价值，在于其将复杂、晦涩的链上数据，转化为直观、易于理解的交易信号，从而极大地降低了普通交易者分析这些数据的门槛。作为一个专注于Meme币的“百倍币发现平台”，GMGN的设计初衷便是帮助用户在信息极度不对称的加密市场中，尤其是在Meme币这类高度依赖社区情绪和早期信息传播的资产中，捕捉到可能带来巨大回报的早期市场机会。</w:t>
      </w:r>
    </w:p>
    <w:p>
      <w:pPr>
        <w:pStyle w:val="BodyText"/>
      </w:pPr>
      <w:r>
        <w:rPr>
          <w:rFonts w:hint="eastAsia"/>
        </w:rPr>
        <w:t xml:space="preserve">其数据能力的独特性，主要体现在对链上行为的深度洞察与创新的展示方式上。GMGN通过追踪和分析大量的链上交易记录，能够识别出被社区普遍认为是“聪明钱”的地址，即那些在过去交易中表现出卓越盈利能力的钱包。当这些“聪明钱”地址对某个Meme币进行大额买入或卖出时，GMGN会以醒目的标签形式，在该代币的价格走势图下方进行展示。这种将宏观市场数据与微观交易行为紧密结合的呈现方式，为交易者提供了一个清晰的决策依据。例如，用户可以观察到，某个代币在发布重要公告后，是否有“聪明钱”进场布局，从而判断市场情绪的真实性与未来走势的潜力。</w:t>
      </w:r>
    </w:p>
    <w:p>
      <w:pPr>
        <w:pStyle w:val="BodyText"/>
      </w:pPr>
      <w:r>
        <w:rPr>
          <w:rFonts w:hint="eastAsia"/>
        </w:rPr>
        <w:t xml:space="preserve">此外，GMGN还提供了诸如“老鼠仓追踪”等功能，旨在揭示项目方或内部人士可能存在的利益输送行为。这些非公开、非透明的链上信息，对于构建一个旨在发现市场“异常”并进行套利的AI交易系统而言，具有极高的研究价值。GMGN的数据维度，本质上是对传统技术指标（如K线、成交量）的有力补充，它引入了基于链上行为的“事件驱动”维度，这正是AI模型在处理复杂金融问题时所需要的多模态、非结构化数据输入。</w:t>
      </w:r>
    </w:p>
    <w:bookmarkEnd w:id="24"/>
    <w:bookmarkStart w:id="25" w:name="商业模式的脆弱性与风险评估"/>
    <w:p>
      <w:pPr>
        <w:pStyle w:val="3"/>
      </w:pPr>
      <w:r>
        <w:t xml:space="preserve">2.2 </w:t>
      </w:r>
      <w:r>
        <w:rPr>
          <w:rFonts w:hint="eastAsia"/>
        </w:rPr>
        <w:t xml:space="preserve">商业模式的脆弱性与风险评估</w:t>
      </w:r>
    </w:p>
    <w:p>
      <w:pPr>
        <w:pStyle w:val="FirstParagraph"/>
      </w:pPr>
      <w:r>
        <w:rPr>
          <w:rFonts w:hint="eastAsia"/>
        </w:rPr>
        <w:t xml:space="preserve">尽管GMGN在数据能力上展现出独特的优势，但其作为单一数据源的可行性，必须建立在对其长期稳定性审慎评估的基础之上。一个关键的风险点在于，GMGN的商业模式高度依赖于加密市场的整体繁荣周期，尤其是Meme币板块的热度。</w:t>
      </w:r>
    </w:p>
    <w:p>
      <w:pPr>
        <w:pStyle w:val="BodyText"/>
      </w:pPr>
      <w:r>
        <w:rPr>
          <w:rFonts w:hint="eastAsia"/>
        </w:rPr>
        <w:t xml:space="preserve">根据公开信息，GMGN在市场繁荣期（如2024年的牛市）曾取得显著的商业成功，日均收入一度高达约50万美元。这一收入主要来源于其平台上的交易手续费，而大量的交易活动是Meme币市场狂热情绪的直接体现。然而，这种建立在市场情绪之上的商业模式，其脆弱性也随之凸显。当市场进入调整期或熊市时，用户活跃度和交易频率会急剧下降，导致平台收入锐减。一个极具警示意义的案例是，在市场调整期间，GMGN的收入据称暴跌了97%。</w:t>
      </w:r>
    </w:p>
    <w:p>
      <w:pPr>
        <w:pStyle w:val="BodyText"/>
      </w:pPr>
      <w:r>
        <w:rPr>
          <w:rFonts w:hint="eastAsia"/>
        </w:rPr>
        <w:t xml:space="preserve">这种剧烈的周期性波动，对本项目构成了潜在的双重风险。首先，在市场下行周期，GMGN平台本身的生存可能面临严峻挑战，这可能导致其服务中断、数据质量下降甚至完全停止运营，从而使本项目失去关键的数据源。其次，更重要的是，GMGN的数据本身就反映了市场的极端情绪。在市场繁荣期，其数据可能包含大量由非理性繁荣驱动的交易信号；而在市场恐慌期，这些信号又可能被极度悲观的情绪所扭曲。一个完全依赖此类数据源的AI模型，可能会在市场周期转换时，因学习了错误的历史模式而做出灾难性的决策。</w:t>
      </w:r>
    </w:p>
    <w:p>
      <w:pPr>
        <w:pStyle w:val="BodyText"/>
      </w:pPr>
      <w:r>
        <w:rPr>
          <w:rFonts w:hint="eastAsia"/>
        </w:rPr>
        <w:t xml:space="preserve">由此可见，将GMGN作为唯一的核心数据源，无异于将项目的命运与单一的、高度波动的市场变量绑定。这违背了风险管理的基本原则。因此，在项目设计阶段，就必须建立一个多元化的数据采集策略，将GMGN的数据与其他更稳定、更基础的数据源（如交易所的市场行情数据、官方链上区块浏览器数据）相结合，以形成一个更为全面和稳健的分析基础。</w:t>
      </w:r>
    </w:p>
    <w:tbl>
      <w:tblPr>
        <w:tblStyle w:val="TableCustom"/>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指标</w:t>
            </w:r>
          </w:p>
        </w:tc>
        <w:tc>
          <w:tcPr/>
          <w:p>
            <w:pPr>
              <w:pStyle w:val="Compact"/>
              <w:jc w:val="left"/>
            </w:pPr>
            <w:r>
              <w:rPr>
                <w:rFonts w:hint="eastAsia"/>
              </w:rPr>
              <w:t xml:space="preserve">市场繁荣期</w:t>
            </w:r>
            <w:r>
              <w:t xml:space="preserve"> </w:t>
            </w:r>
            <w:r>
              <w:rPr>
                <w:rFonts w:hint="eastAsia"/>
              </w:rPr>
              <w:t xml:space="preserve">(以2024年牛市为例)</w:t>
            </w:r>
          </w:p>
        </w:tc>
        <w:tc>
          <w:tcPr/>
          <w:p>
            <w:pPr>
              <w:pStyle w:val="Compact"/>
              <w:jc w:val="left"/>
            </w:pPr>
            <w:r>
              <w:rPr>
                <w:rFonts w:hint="eastAsia"/>
              </w:rPr>
              <w:t xml:space="preserve">市场调整期</w:t>
            </w:r>
            <w:r>
              <w:t xml:space="preserve"> </w:t>
            </w:r>
            <w:r>
              <w:rPr>
                <w:rFonts w:hint="eastAsia"/>
              </w:rPr>
              <w:t xml:space="preserve">(以2025年3月为例)</w:t>
            </w:r>
          </w:p>
        </w:tc>
        <w:tc>
          <w:tcPr/>
          <w:p>
            <w:pPr>
              <w:pStyle w:val="Compact"/>
              <w:jc w:val="left"/>
            </w:pPr>
            <w:r>
              <w:rPr>
                <w:rFonts w:hint="eastAsia"/>
              </w:rPr>
              <w:t xml:space="preserve">变化幅度</w:t>
            </w:r>
          </w:p>
        </w:tc>
      </w:tr>
      <w:tr>
        <w:tc>
          <w:tcPr/>
          <w:p>
            <w:pPr>
              <w:pStyle w:val="Compact"/>
              <w:jc w:val="left"/>
            </w:pPr>
            <w:r>
              <w:rPr>
                <w:rFonts w:hint="eastAsia"/>
              </w:rPr>
              <w:t xml:space="preserve">日均收入</w:t>
            </w:r>
          </w:p>
        </w:tc>
        <w:tc>
          <w:tcPr/>
          <w:p>
            <w:pPr>
              <w:pStyle w:val="Compact"/>
              <w:jc w:val="left"/>
            </w:pPr>
            <w:r>
              <w:rPr>
                <w:rFonts w:hint="eastAsia"/>
              </w:rPr>
              <w:t xml:space="preserve">约50万美元</w:t>
            </w:r>
          </w:p>
        </w:tc>
        <w:tc>
          <w:tcPr/>
          <w:p>
            <w:pPr>
              <w:pStyle w:val="Compact"/>
              <w:jc w:val="left"/>
            </w:pPr>
            <w:r>
              <w:rPr>
                <w:rFonts w:hint="eastAsia"/>
              </w:rPr>
              <w:t xml:space="preserve">约1.5万美元</w:t>
            </w:r>
          </w:p>
        </w:tc>
        <w:tc>
          <w:tcPr/>
          <w:p>
            <w:pPr>
              <w:pStyle w:val="Compact"/>
              <w:jc w:val="left"/>
            </w:pPr>
            <w:r>
              <w:t xml:space="preserve">-97%</w:t>
            </w:r>
          </w:p>
        </w:tc>
      </w:tr>
      <w:tr>
        <w:tc>
          <w:tcPr/>
          <w:p>
            <w:pPr>
              <w:pStyle w:val="Compact"/>
              <w:jc w:val="left"/>
            </w:pPr>
            <w:r>
              <w:rPr>
                <w:rFonts w:hint="eastAsia"/>
              </w:rPr>
              <w:t xml:space="preserve">日均活跃用户</w:t>
            </w:r>
          </w:p>
        </w:tc>
        <w:tc>
          <w:tcPr/>
          <w:p>
            <w:pPr>
              <w:pStyle w:val="Compact"/>
              <w:jc w:val="left"/>
            </w:pPr>
            <w:r>
              <w:rPr>
                <w:rFonts w:hint="eastAsia"/>
              </w:rPr>
              <w:t xml:space="preserve">约2.8万</w:t>
            </w:r>
          </w:p>
        </w:tc>
        <w:tc>
          <w:tcPr/>
          <w:p>
            <w:pPr>
              <w:pStyle w:val="Compact"/>
              <w:jc w:val="left"/>
            </w:pPr>
            <w:r>
              <w:t xml:space="preserve">-</w:t>
            </w:r>
          </w:p>
        </w:tc>
        <w:tc>
          <w:tcPr/>
          <w:p>
            <w:pPr>
              <w:pStyle w:val="Compact"/>
              <w:jc w:val="left"/>
            </w:pPr>
            <w:r>
              <w:t xml:space="preserve">-</w:t>
            </w:r>
          </w:p>
        </w:tc>
      </w:tr>
      <w:tr>
        <w:tc>
          <w:tcPr/>
          <w:p>
            <w:pPr>
              <w:pStyle w:val="Compact"/>
              <w:jc w:val="left"/>
            </w:pPr>
            <w:r>
              <w:rPr>
                <w:rFonts w:hint="eastAsia"/>
              </w:rPr>
              <w:t xml:space="preserve">日均交易笔数</w:t>
            </w:r>
          </w:p>
        </w:tc>
        <w:tc>
          <w:tcPr/>
          <w:p>
            <w:pPr>
              <w:pStyle w:val="Compact"/>
              <w:jc w:val="left"/>
            </w:pPr>
            <w:r>
              <w:rPr>
                <w:rFonts w:hint="eastAsia"/>
              </w:rPr>
              <w:t xml:space="preserve">约60万</w:t>
            </w:r>
          </w:p>
        </w:tc>
        <w:tc>
          <w:tcPr/>
          <w:p>
            <w:pPr>
              <w:pStyle w:val="Compact"/>
              <w:jc w:val="left"/>
            </w:pPr>
            <w:r>
              <w:t xml:space="preserve">-</w:t>
            </w:r>
          </w:p>
        </w:tc>
        <w:tc>
          <w:tcPr/>
          <w:p>
            <w:pPr>
              <w:pStyle w:val="Compact"/>
              <w:jc w:val="left"/>
            </w:pPr>
            <w:r>
              <w:t xml:space="preserve">-</w:t>
            </w:r>
          </w:p>
        </w:tc>
      </w:tr>
    </w:tbl>
    <w:bookmarkEnd w:id="25"/>
    <w:bookmarkStart w:id="26" w:name="数据获取的现实路径官方api与非官方方案"/>
    <w:p>
      <w:pPr>
        <w:pStyle w:val="3"/>
      </w:pPr>
      <w:r>
        <w:t xml:space="preserve">2.3 </w:t>
      </w:r>
      <w:r>
        <w:rPr>
          <w:rFonts w:hint="eastAsia"/>
        </w:rPr>
        <w:t xml:space="preserve">数据获取的现实路径：官方API与非官方方案</w:t>
      </w:r>
    </w:p>
    <w:p>
      <w:pPr>
        <w:pStyle w:val="FirstParagraph"/>
      </w:pPr>
      <w:r>
        <w:rPr>
          <w:rFonts w:hint="eastAsia"/>
        </w:rPr>
        <w:t xml:space="preserve">在技术实现层面，从GMGN平台获取数据面临着官方支持缺失的现实挑战。截至目前，GMGN并未向公众提供官方的应用程序接口（API），这意味着我们无法通过标准、高效且可持续的方式直接从其服务器拉取数据。这一现状迫使我们转向非官方的数据获取方案。</w:t>
      </w:r>
    </w:p>
    <w:p>
      <w:pPr>
        <w:pStyle w:val="BodyText"/>
      </w:pPr>
      <w:r>
        <w:rPr>
          <w:rFonts w:hint="eastAsia"/>
        </w:rPr>
        <w:t xml:space="preserve">目前，社区中存在一些由开发者编写的非官方抓取工具，例如在Greasy</w:t>
      </w:r>
      <w:r>
        <w:t xml:space="preserve"> </w:t>
      </w:r>
      <w:r>
        <w:rPr>
          <w:rFonts w:hint="eastAsia"/>
        </w:rPr>
        <w:t xml:space="preserve">Fork等平台上分享的GMGN</w:t>
      </w:r>
      <w:r>
        <w:t xml:space="preserve"> </w:t>
      </w:r>
      <w:r>
        <w:rPr>
          <w:rFonts w:hint="eastAsia"/>
        </w:rPr>
        <w:t xml:space="preserve">Tools脚本。这些工具通常基于网页抓取（Web</w:t>
      </w:r>
      <w:r>
        <w:t xml:space="preserve"> </w:t>
      </w:r>
      <w:r>
        <w:rPr>
          <w:rFonts w:hint="eastAsia"/>
        </w:rPr>
        <w:t xml:space="preserve">Scraping）技术，模拟用户浏览器行为，解析GMGN网站的HTML页面，从而提取出我们所需的“聪明钱”交易信号等关键数据。在短期内，这种方案为我们的项目提供了一条可行的技术路径。</w:t>
      </w:r>
    </w:p>
    <w:p>
      <w:pPr>
        <w:pStyle w:val="BodyText"/>
      </w:pPr>
      <w:r>
        <w:rPr>
          <w:rFonts w:hint="eastAsia"/>
        </w:rPr>
        <w:t xml:space="preserve">然而，采用非官方抓取方案也伴随着显著的风险与挑战。首先，</w:t>
      </w:r>
      <w:r>
        <w:t xml:space="preserve"> </w:t>
      </w:r>
      <w:r>
        <w:rPr>
          <w:rFonts w:hint="eastAsia"/>
          <w:b/>
          <w:bCs/>
        </w:rPr>
        <w:t xml:space="preserve">法律与合规风险</w:t>
      </w:r>
      <w:r>
        <w:t xml:space="preserve"> </w:t>
      </w:r>
      <w:r>
        <w:rPr>
          <w:rFonts w:hint="eastAsia"/>
        </w:rPr>
        <w:t xml:space="preserve">是最为核心的考量。任何数据抓取行为都必须严格遵守平台的服务条款（Terms</w:t>
      </w:r>
      <w:r>
        <w:t xml:space="preserve"> of </w:t>
      </w:r>
      <w:r>
        <w:rPr>
          <w:rFonts w:hint="eastAsia"/>
        </w:rPr>
        <w:t xml:space="preserve">Service）和数据隐私政策（Privacy</w:t>
      </w:r>
      <w:r>
        <w:t xml:space="preserve"> </w:t>
      </w:r>
      <w:r>
        <w:rPr>
          <w:rFonts w:hint="eastAsia"/>
        </w:rPr>
        <w:t xml:space="preserve">Policy）。如果GMGN的条款中明确禁止未经授权的自动化数据采集，那么使用此类工具可能会导致我们的IP地址被平台封禁，甚至在极端情况下引发法律纠纷。其次，</w:t>
      </w:r>
      <w:r>
        <w:t xml:space="preserve"> </w:t>
      </w:r>
      <w:r>
        <w:rPr>
          <w:rFonts w:hint="eastAsia"/>
          <w:b/>
          <w:bCs/>
        </w:rPr>
        <w:t xml:space="preserve">技术稳定性与可持续性</w:t>
      </w:r>
      <w:r>
        <w:t xml:space="preserve"> </w:t>
      </w:r>
      <w:r>
        <w:rPr>
          <w:rFonts w:hint="eastAsia"/>
        </w:rPr>
        <w:t xml:space="preserve">存疑。非官方工具的开发和维护完全依赖于社区贡献，其更新频率、功能完整性和代码健壮性都无法得到官方保障。一旦GMGN网站进行改版或升级，这些脚本很可能会失效，导致我们的数据源中断。最后，</w:t>
      </w:r>
      <w:r>
        <w:t xml:space="preserve"> </w:t>
      </w:r>
      <w:r>
        <w:rPr>
          <w:rFonts w:hint="eastAsia"/>
          <w:b/>
          <w:bCs/>
        </w:rPr>
        <w:t xml:space="preserve">数据质量与准确性</w:t>
      </w:r>
      <w:r>
        <w:t xml:space="preserve"> </w:t>
      </w:r>
      <w:r>
        <w:rPr>
          <w:rFonts w:hint="eastAsia"/>
        </w:rPr>
        <w:t xml:space="preserve">也需要验证。网页抓取的数据可能包含网页上的错误或噪声，需要额外的清洗和校验步骤，这无疑增加了数据处理模块的复杂性。</w:t>
      </w:r>
    </w:p>
    <w:p>
      <w:pPr>
        <w:pStyle w:val="BodyText"/>
      </w:pPr>
      <w:r>
        <w:rPr>
          <w:rFonts w:hint="eastAsia"/>
        </w:rPr>
        <w:t xml:space="preserve">综上所述，虽然非官方抓取工具在当前提供了一种可能的解决方案，但它是一种高风险、高维护成本且缺乏长期保障的数据获取方式。在项目推进过程中，我们必须将此作为一个临时过渡方案，并持续关注GMGN官方是否会发布API。同时，为了规避单一数据源失效的风险，我们应尽早规划并启动对其他替代数据源的调研与采集工作，以构建一个更为冗余和可靠的数据输入体系。</w:t>
      </w:r>
    </w:p>
    <w:bookmarkEnd w:id="26"/>
    <w:bookmarkEnd w:id="27"/>
    <w:bookmarkStart w:id="32" w:name="ai决策核心deepseek-api的选型与集成"/>
    <w:p>
      <w:pPr>
        <w:pStyle w:val="2"/>
      </w:pPr>
      <w:r>
        <w:t xml:space="preserve">3. </w:t>
      </w:r>
      <w:r>
        <w:rPr>
          <w:rFonts w:hint="eastAsia"/>
        </w:rPr>
        <w:t xml:space="preserve">AI决策核心：DeepSeek</w:t>
      </w:r>
      <w:r>
        <w:t xml:space="preserve"> </w:t>
      </w:r>
      <w:r>
        <w:rPr>
          <w:rFonts w:hint="eastAsia"/>
        </w:rPr>
        <w:t xml:space="preserve">API的选型与集成</w:t>
      </w:r>
    </w:p>
    <w:p>
      <w:pPr>
        <w:pStyle w:val="FirstParagraph"/>
      </w:pPr>
      <w:r>
        <w:rPr>
          <w:rFonts w:hint="eastAsia"/>
        </w:rPr>
        <w:t xml:space="preserve">在前一章节中，我们深入剖析了系统数据输入的基石——GMGN平台。然而，一个强大的交易系统不仅需要敏锐的“感官”，更需要一个智慧的“大脑”来处理纷繁复杂的市场信息并做出决策。本章节将聚焦于系统的核心决策模块，详细评估并论证为何选择DeepSeek</w:t>
      </w:r>
      <w:r>
        <w:t xml:space="preserve"> </w:t>
      </w:r>
      <w:r>
        <w:rPr>
          <w:rFonts w:hint="eastAsia"/>
        </w:rPr>
        <w:t xml:space="preserve">API作为本项目的AI决策引擎。我们将从其性能与成本效益、模型选型策略、技术集成方案，以及决定其决策质量的关键技术——提示词工程，进行全方位的剖析，旨在为读者清晰地勾勒出如何将先进的AI能力无缝融入自动化交易系统。</w:t>
      </w:r>
    </w:p>
    <w:bookmarkStart w:id="28" w:name="deepseek-api的性能与成本分析"/>
    <w:p>
      <w:pPr>
        <w:pStyle w:val="3"/>
      </w:pPr>
      <w:r>
        <w:t xml:space="preserve">3.1 DeepSeek </w:t>
      </w:r>
      <w:r>
        <w:rPr>
          <w:rFonts w:hint="eastAsia"/>
        </w:rPr>
        <w:t xml:space="preserve">API的性能与成本分析</w:t>
      </w:r>
    </w:p>
    <w:p>
      <w:pPr>
        <w:pStyle w:val="FirstParagraph"/>
      </w:pPr>
      <w:r>
        <w:rPr>
          <w:rFonts w:hint="eastAsia"/>
        </w:rPr>
        <w:t xml:space="preserve">在选择AI决策引擎时，开发者面临着一个核心的权衡：模型的性能表现与经济成本。DeepSeek</w:t>
      </w:r>
      <w:r>
        <w:t xml:space="preserve"> </w:t>
      </w:r>
      <w:r>
        <w:rPr>
          <w:rFonts w:hint="eastAsia"/>
        </w:rPr>
        <w:t xml:space="preserve">API凭借其独特的技术架构和动态的定价策略，在这两个维度上均展现出显著的竞争力，尤其在交易决策这类对推理能力和响应速度有双重要求的场景中。</w:t>
      </w:r>
    </w:p>
    <w:p>
      <w:pPr>
        <w:pStyle w:val="BodyText"/>
      </w:pPr>
      <w:r>
        <w:rPr>
          <w:rFonts w:hint="eastAsia"/>
        </w:rPr>
        <w:t xml:space="preserve">首先，在性能层面，DeepSeek的核心优势源于其采用的混合专家（Mixture</w:t>
      </w:r>
      <w:r>
        <w:t xml:space="preserve"> of Experts, </w:t>
      </w:r>
      <w:r>
        <w:rPr>
          <w:rFonts w:hint="eastAsia"/>
        </w:rPr>
        <w:t xml:space="preserve">MoE）架构。该架构并非简单地堆砌计算资源，而是通过一个“门控网络”智能地为每个输入请求路由至最适合的一组“专家”模型进行处理。这种设计使得DeepSeek能够在有限的硬件投入下，实现与传统大规模模型相当甚至更优的性能，打破了海外厂商依赖算力优势的传统发展路径。这一特性对于交易系统至关重要，因为它意味着DeepSeek能够以更高的效率处理海量的市场数据流和复杂的决策逻辑，从而在保证决策深度的同时，尽可能降低响应延迟。</w:t>
      </w:r>
    </w:p>
    <w:p>
      <w:pPr>
        <w:pStyle w:val="BodyText"/>
      </w:pPr>
      <w:r>
        <w:rPr>
          <w:rFonts w:hint="eastAsia"/>
        </w:rPr>
        <w:t xml:space="preserve">更具说服力的证据来自于真实市场的考验。在近期备受关注的Alpha</w:t>
      </w:r>
      <w:r>
        <w:t xml:space="preserve"> </w:t>
      </w:r>
      <w:r>
        <w:rPr>
          <w:rFonts w:hint="eastAsia"/>
        </w:rPr>
        <w:t xml:space="preserve">Arena全球顶级AI实盘交易竞赛中，DeepSeek模型在模拟交易中表现出色。在为期三天的比赛中，其收益高达36%，远超其他参赛模型，被评为“交易之王”。这一成绩表明，DeepSeek不仅在通用的逻辑推理任务上表现强劲，更在金融市场这种充满不确定性和高风险的复杂环境中，具备了强大的模式识别与决策能力。</w:t>
      </w:r>
    </w:p>
    <w:p>
      <w:pPr>
        <w:pStyle w:val="BodyText"/>
      </w:pPr>
      <w:r>
        <w:rPr>
          <w:rFonts w:hint="eastAsia"/>
        </w:rPr>
        <w:t xml:space="preserve">其次，在经济成本方面，DeepSeek</w:t>
      </w:r>
      <w:r>
        <w:t xml:space="preserve"> </w:t>
      </w:r>
      <w:r>
        <w:rPr>
          <w:rFonts w:hint="eastAsia"/>
        </w:rPr>
        <w:t xml:space="preserve">API的定价策略经历了数次调整，但其始终保持的高性价比是其吸引开发者的关键。API的计费模式基于输入和输出的tokens数量，这与OpenAI等主流模型保持了一致性，便于开发者进行成本估算和迁移。然而，DeepSeek的价格显著低于其国际竞争对手，例如，在其V3.2-Exp版本发布后，开发者调用成本可降低50%以上。</w:t>
      </w:r>
    </w:p>
    <w:p>
      <w:pPr>
        <w:pStyle w:val="BodyText"/>
      </w:pPr>
      <w:r>
        <w:rPr>
          <w:rFonts w:hint="eastAsia"/>
        </w:rPr>
        <w:t xml:space="preserve">为了更直观地理解其成本结构，下表汇总了DeepSeek</w:t>
      </w:r>
      <w:r>
        <w:t xml:space="preserve"> </w:t>
      </w:r>
      <w:r>
        <w:rPr>
          <w:rFonts w:hint="eastAsia"/>
        </w:rPr>
        <w:t xml:space="preserve">API在不同时期的定价：</w:t>
      </w:r>
    </w:p>
    <w:tbl>
      <w:tblPr>
        <w:tblStyle w:val="TableCustom"/>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rPr>
                <w:rFonts w:hint="eastAsia"/>
              </w:rPr>
              <w:t xml:space="preserve">模型</w:t>
            </w:r>
          </w:p>
        </w:tc>
        <w:tc>
          <w:tcPr/>
          <w:p>
            <w:pPr>
              <w:pStyle w:val="Compact"/>
              <w:jc w:val="left"/>
            </w:pPr>
            <w:r>
              <w:rPr>
                <w:rFonts w:hint="eastAsia"/>
              </w:rPr>
              <w:t xml:space="preserve">计费项</w:t>
            </w:r>
          </w:p>
        </w:tc>
        <w:tc>
          <w:tcPr/>
          <w:p>
            <w:pPr>
              <w:pStyle w:val="Compact"/>
              <w:jc w:val="left"/>
            </w:pPr>
            <w:r>
              <w:rPr>
                <w:rFonts w:hint="eastAsia"/>
              </w:rPr>
              <w:t xml:space="preserve">优惠期价格</w:t>
            </w:r>
            <w:r>
              <w:t xml:space="preserve"> (2024.12.26 - 2025.02.08)</w:t>
            </w:r>
          </w:p>
        </w:tc>
        <w:tc>
          <w:tcPr/>
          <w:p>
            <w:pPr>
              <w:pStyle w:val="Compact"/>
              <w:jc w:val="left"/>
            </w:pPr>
            <w:r>
              <w:rPr>
                <w:rFonts w:hint="eastAsia"/>
              </w:rPr>
              <w:t xml:space="preserve">调整后价格</w:t>
            </w:r>
            <w:r>
              <w:t xml:space="preserve"> (2025.02.09 </w:t>
            </w:r>
            <w:r>
              <w:rPr>
                <w:rFonts w:hint="eastAsia"/>
              </w:rPr>
              <w:t xml:space="preserve">起)</w:t>
            </w:r>
          </w:p>
        </w:tc>
        <w:tc>
          <w:tcPr/>
          <w:p>
            <w:pPr>
              <w:pStyle w:val="Compact"/>
              <w:jc w:val="left"/>
            </w:pPr>
            <w:r>
              <w:t xml:space="preserve">V3.2-Exp </w:t>
            </w:r>
            <w:r>
              <w:rPr>
                <w:rFonts w:hint="eastAsia"/>
              </w:rPr>
              <w:t xml:space="preserve">价格</w:t>
            </w:r>
            <w:r>
              <w:t xml:space="preserve"> (2025.09.29 </w:t>
            </w:r>
            <w:r>
              <w:rPr>
                <w:rFonts w:hint="eastAsia"/>
              </w:rPr>
              <w:t xml:space="preserve">起)</w:t>
            </w:r>
          </w:p>
        </w:tc>
      </w:tr>
      <w:tr>
        <w:tc>
          <w:tcPr/>
          <w:p>
            <w:pPr>
              <w:pStyle w:val="Compact"/>
              <w:jc w:val="left"/>
            </w:pPr>
            <w:r>
              <w:t xml:space="preserve">DeepSeek-V3</w:t>
            </w:r>
          </w:p>
        </w:tc>
        <w:tc>
          <w:tcPr/>
          <w:p>
            <w:pPr>
              <w:pStyle w:val="Compact"/>
              <w:jc w:val="left"/>
            </w:pPr>
            <w:r>
              <w:rPr>
                <w:rFonts w:hint="eastAsia"/>
              </w:rPr>
              <w:t xml:space="preserve">输入</w:t>
            </w:r>
            <w:r>
              <w:t xml:space="preserve"> </w:t>
            </w:r>
            <w:r>
              <w:rPr>
                <w:rFonts w:hint="eastAsia"/>
              </w:rPr>
              <w:t xml:space="preserve">(缓存命中)</w:t>
            </w:r>
          </w:p>
        </w:tc>
        <w:tc>
          <w:tcPr/>
          <w:p>
            <w:pPr>
              <w:pStyle w:val="Compact"/>
              <w:jc w:val="left"/>
            </w:pPr>
            <w:r>
              <w:rPr>
                <w:rFonts w:hint="eastAsia"/>
              </w:rPr>
              <w:t xml:space="preserve">0.1元/百万tokens</w:t>
            </w:r>
          </w:p>
        </w:tc>
        <w:tc>
          <w:tcPr/>
          <w:p>
            <w:pPr>
              <w:pStyle w:val="Compact"/>
              <w:jc w:val="left"/>
            </w:pPr>
            <w:r>
              <w:rPr>
                <w:rFonts w:hint="eastAsia"/>
              </w:rPr>
              <w:t xml:space="preserve">0.5元/百万tokens</w:t>
            </w:r>
          </w:p>
        </w:tc>
        <w:tc>
          <w:tcPr/>
          <w:p>
            <w:pPr>
              <w:pStyle w:val="Compact"/>
              <w:jc w:val="left"/>
            </w:pPr>
            <w:r>
              <w:rPr>
                <w:rFonts w:hint="eastAsia"/>
              </w:rPr>
              <w:t xml:space="preserve">0.2元/百万tokens</w:t>
            </w:r>
          </w:p>
        </w:tc>
      </w:tr>
      <w:tr>
        <w:tc>
          <w:tcPr/>
          <w:p>
            <w:pPr>
              <w:pStyle w:val="Compact"/>
              <w:jc w:val="left"/>
            </w:pPr>
            <w:r>
              <w:t xml:space="preserve">DeepSeek-V3</w:t>
            </w:r>
          </w:p>
        </w:tc>
        <w:tc>
          <w:tcPr/>
          <w:p>
            <w:pPr>
              <w:pStyle w:val="Compact"/>
              <w:jc w:val="left"/>
            </w:pPr>
            <w:r>
              <w:rPr>
                <w:rFonts w:hint="eastAsia"/>
              </w:rPr>
              <w:t xml:space="preserve">输入</w:t>
            </w:r>
            <w:r>
              <w:t xml:space="preserve"> </w:t>
            </w:r>
            <w:r>
              <w:rPr>
                <w:rFonts w:hint="eastAsia"/>
              </w:rPr>
              <w:t xml:space="preserve">(缓存未命中)</w:t>
            </w:r>
          </w:p>
        </w:tc>
        <w:tc>
          <w:tcPr/>
          <w:p>
            <w:pPr>
              <w:pStyle w:val="Compact"/>
              <w:jc w:val="left"/>
            </w:pPr>
            <w:r>
              <w:rPr>
                <w:rFonts w:hint="eastAsia"/>
              </w:rPr>
              <w:t xml:space="preserve">1元/百万tokens</w:t>
            </w:r>
          </w:p>
        </w:tc>
        <w:tc>
          <w:tcPr/>
          <w:p>
            <w:pPr>
              <w:pStyle w:val="Compact"/>
              <w:jc w:val="left"/>
            </w:pPr>
            <w:r>
              <w:rPr>
                <w:rFonts w:hint="eastAsia"/>
              </w:rPr>
              <w:t xml:space="preserve">2元/百万tokens</w:t>
            </w:r>
          </w:p>
        </w:tc>
        <w:tc>
          <w:tcPr/>
          <w:p>
            <w:pPr>
              <w:pStyle w:val="Compact"/>
              <w:jc w:val="left"/>
            </w:pPr>
            <w:r>
              <w:rPr>
                <w:rFonts w:hint="eastAsia"/>
              </w:rPr>
              <w:t xml:space="preserve">2元/百万tokens</w:t>
            </w:r>
          </w:p>
        </w:tc>
      </w:tr>
      <w:tr>
        <w:tc>
          <w:tcPr/>
          <w:p>
            <w:pPr>
              <w:pStyle w:val="Compact"/>
              <w:jc w:val="left"/>
            </w:pPr>
            <w:r>
              <w:t xml:space="preserve">DeepSeek-V3</w:t>
            </w:r>
          </w:p>
        </w:tc>
        <w:tc>
          <w:tcPr/>
          <w:p>
            <w:pPr>
              <w:pStyle w:val="Compact"/>
              <w:jc w:val="left"/>
            </w:pPr>
            <w:r>
              <w:rPr>
                <w:rFonts w:hint="eastAsia"/>
              </w:rPr>
              <w:t xml:space="preserve">输出</w:t>
            </w:r>
          </w:p>
        </w:tc>
        <w:tc>
          <w:tcPr/>
          <w:p>
            <w:pPr>
              <w:pStyle w:val="Compact"/>
              <w:jc w:val="left"/>
            </w:pPr>
            <w:r>
              <w:rPr>
                <w:rFonts w:hint="eastAsia"/>
              </w:rPr>
              <w:t xml:space="preserve">2元/百万tokens</w:t>
            </w:r>
          </w:p>
        </w:tc>
        <w:tc>
          <w:tcPr/>
          <w:p>
            <w:pPr>
              <w:pStyle w:val="Compact"/>
              <w:jc w:val="left"/>
            </w:pPr>
            <w:r>
              <w:rPr>
                <w:rFonts w:hint="eastAsia"/>
              </w:rPr>
              <w:t xml:space="preserve">8元/百万tokens</w:t>
            </w:r>
          </w:p>
        </w:tc>
        <w:tc>
          <w:tcPr/>
          <w:p>
            <w:pPr>
              <w:pStyle w:val="Compact"/>
              <w:jc w:val="left"/>
            </w:pPr>
            <w:r>
              <w:rPr>
                <w:rFonts w:hint="eastAsia"/>
              </w:rPr>
              <w:t xml:space="preserve">3元/百万tokens</w:t>
            </w:r>
          </w:p>
        </w:tc>
      </w:tr>
      <w:tr>
        <w:tc>
          <w:tcPr/>
          <w:p>
            <w:pPr>
              <w:pStyle w:val="Compact"/>
              <w:jc w:val="left"/>
            </w:pPr>
            <w:r>
              <w:t xml:space="preserve">DeepSeek-R1</w:t>
            </w:r>
          </w:p>
        </w:tc>
        <w:tc>
          <w:tcPr/>
          <w:p>
            <w:pPr>
              <w:pStyle w:val="Compact"/>
              <w:jc w:val="left"/>
            </w:pPr>
            <w:r>
              <w:rPr>
                <w:rFonts w:hint="eastAsia"/>
              </w:rPr>
              <w:t xml:space="preserve">输入</w:t>
            </w:r>
            <w:r>
              <w:t xml:space="preserve"> </w:t>
            </w:r>
            <w:r>
              <w:rPr>
                <w:rFonts w:hint="eastAsia"/>
              </w:rPr>
              <w:t xml:space="preserve">(缓存未命中)</w:t>
            </w:r>
          </w:p>
        </w:tc>
        <w:tc>
          <w:tcPr/>
          <w:p>
            <w:pPr>
              <w:pStyle w:val="Compact"/>
              <w:jc w:val="left"/>
            </w:pPr>
            <w:r>
              <w:t xml:space="preserve">-</w:t>
            </w:r>
          </w:p>
        </w:tc>
        <w:tc>
          <w:tcPr/>
          <w:p>
            <w:pPr>
              <w:pStyle w:val="Compact"/>
              <w:jc w:val="left"/>
            </w:pPr>
            <w:r>
              <w:rPr>
                <w:rFonts w:hint="eastAsia"/>
              </w:rPr>
              <w:t xml:space="preserve">4元/百万tokens</w:t>
            </w:r>
          </w:p>
        </w:tc>
        <w:tc>
          <w:tcPr/>
          <w:p>
            <w:pPr>
              <w:pStyle w:val="Compact"/>
              <w:jc w:val="left"/>
            </w:pPr>
            <w:r>
              <w:t xml:space="preserve">-</w:t>
            </w:r>
          </w:p>
        </w:tc>
      </w:tr>
      <w:tr>
        <w:tc>
          <w:tcPr/>
          <w:p>
            <w:pPr>
              <w:pStyle w:val="Compact"/>
              <w:jc w:val="left"/>
            </w:pPr>
            <w:r>
              <w:t xml:space="preserve">DeepSeek-R1</w:t>
            </w:r>
          </w:p>
        </w:tc>
        <w:tc>
          <w:tcPr/>
          <w:p>
            <w:pPr>
              <w:pStyle w:val="Compact"/>
              <w:jc w:val="left"/>
            </w:pPr>
            <w:r>
              <w:rPr>
                <w:rFonts w:hint="eastAsia"/>
              </w:rPr>
              <w:t xml:space="preserve">输出</w:t>
            </w:r>
          </w:p>
        </w:tc>
        <w:tc>
          <w:tcPr/>
          <w:p>
            <w:pPr>
              <w:pStyle w:val="Compact"/>
              <w:jc w:val="left"/>
            </w:pPr>
            <w:r>
              <w:t xml:space="preserve">-</w:t>
            </w:r>
          </w:p>
        </w:tc>
        <w:tc>
          <w:tcPr/>
          <w:p>
            <w:pPr>
              <w:pStyle w:val="Compact"/>
              <w:jc w:val="left"/>
            </w:pPr>
            <w:r>
              <w:rPr>
                <w:rFonts w:hint="eastAsia"/>
              </w:rPr>
              <w:t xml:space="preserve">16元/百万tokens</w:t>
            </w:r>
          </w:p>
        </w:tc>
        <w:tc>
          <w:tcPr/>
          <w:p>
            <w:pPr>
              <w:pStyle w:val="Compact"/>
              <w:jc w:val="left"/>
            </w:pPr>
            <w:r>
              <w:t xml:space="preserve">-</w:t>
            </w:r>
          </w:p>
        </w:tc>
      </w:tr>
    </w:tbl>
    <w:p>
      <w:pPr>
        <w:pStyle w:val="BodyText"/>
      </w:pPr>
      <w:r>
        <w:rPr>
          <w:rFonts w:hint="eastAsia"/>
          <w:i/>
          <w:iCs/>
        </w:rPr>
        <w:t xml:space="preserve">数据来源：根据公开信息整理</w:t>
      </w:r>
    </w:p>
    <w:p>
      <w:pPr>
        <w:pStyle w:val="BodyText"/>
      </w:pPr>
      <w:r>
        <w:rPr>
          <w:rFonts w:hint="eastAsia"/>
        </w:rPr>
        <w:t xml:space="preserve">从上表可以看出，尽管在2025年2月结束优惠期后，V3的输出价格有所上涨，但随后在9月推出的V3.2-Exp版本又将其大幅回调至3元/百万tokens，远低于同期GPT-4o的5美元/百万tokens（约35元人民币）。DeepSeek-R1作为其旗舰推理模型，尽管定价更高，但其在处理极端复杂任务时的性能优势依然可能吸引技术驱动型用户。这种动态的、以性能为导向的定价策略，反映了DeepSeek在平衡商业可持续性与开发者普惠性之间的努力，也为我们的项目在长期运营中提供了相对可控的成本预期。</w:t>
      </w:r>
    </w:p>
    <w:bookmarkEnd w:id="28"/>
    <w:bookmarkStart w:id="29" w:name="模型选型v3-vs-r1的交易场景适配"/>
    <w:p>
      <w:pPr>
        <w:pStyle w:val="3"/>
      </w:pPr>
      <w:r>
        <w:t xml:space="preserve">3.2 </w:t>
      </w:r>
      <w:r>
        <w:rPr>
          <w:rFonts w:hint="eastAsia"/>
        </w:rPr>
        <w:t xml:space="preserve">模型选型：V3</w:t>
      </w:r>
      <w:r>
        <w:t xml:space="preserve"> vs </w:t>
      </w:r>
      <w:r>
        <w:rPr>
          <w:rFonts w:hint="eastAsia"/>
        </w:rPr>
        <w:t xml:space="preserve">R1的交易场景适配</w:t>
      </w:r>
    </w:p>
    <w:p>
      <w:pPr>
        <w:pStyle w:val="FirstParagraph"/>
      </w:pPr>
      <w:r>
        <w:rPr>
          <w:rFonts w:hint="eastAsia"/>
        </w:rPr>
        <w:t xml:space="preserve">DeepSeek为开发者提供了多款模型，其中最核心的两款是通用型的DeepSeek-V3和推理专精型的DeepSeek-R1。在本项目中，选择哪一款模型，或者如何组合使用它们，直接关系到交易策略的类型、执行效率和最终的决策质量。</w:t>
      </w:r>
    </w:p>
    <w:p>
      <w:pPr>
        <w:pStyle w:val="BodyText"/>
      </w:pPr>
      <w:r>
        <w:rPr>
          <w:b/>
          <w:bCs/>
        </w:rPr>
        <w:t xml:space="preserve">DeepSeek-V3</w:t>
      </w:r>
      <w:r>
        <w:t xml:space="preserve"> </w:t>
      </w:r>
      <w:r>
        <w:rPr>
          <w:rFonts w:hint="eastAsia"/>
        </w:rPr>
        <w:t xml:space="preserve">定位为通用大语言模型，其设计目标是在广泛的任务中提供高性能和低成本的解决方案。它采用了MoE架构，并通过优化的训练数据和算法，在自然语言理解、代码生成等多个维度上达到了业界领先水平。对于本项目而言，V3的主要优势在于其</w:t>
      </w:r>
      <w:r>
        <w:t xml:space="preserve"> </w:t>
      </w:r>
      <w:r>
        <w:rPr>
          <w:rFonts w:hint="eastAsia"/>
          <w:b/>
          <w:bCs/>
        </w:rPr>
        <w:t xml:space="preserve">高吞吐量</w:t>
      </w:r>
      <w:r>
        <w:t xml:space="preserve"> </w:t>
      </w:r>
      <w:r>
        <w:rPr>
          <w:rFonts w:hint="eastAsia"/>
        </w:rPr>
        <w:t xml:space="preserve">和</w:t>
      </w:r>
      <w:r>
        <w:t xml:space="preserve"> </w:t>
      </w:r>
      <w:r>
        <w:rPr>
          <w:rFonts w:hint="eastAsia"/>
          <w:b/>
          <w:bCs/>
        </w:rPr>
        <w:t xml:space="preserve">低延迟响应</w:t>
      </w:r>
      <w:r>
        <w:t xml:space="preserve"> </w:t>
      </w:r>
      <w:r>
        <w:rPr>
          <w:rFonts w:hint="eastAsia"/>
        </w:rPr>
        <w:t xml:space="preserve">，这使其非常适合处理那些需要快速分析和决策的交易场景。例如，在基于技术分析的策略中，系统需要实时扫描大量K线图、交易量等结构化数据，并结合GMGN提供的“老鼠仓”、</w:t>
      </w:r>
      <w:r>
        <w:rPr>
          <w:rFonts w:hint="eastAsia"/>
        </w:rPr>
        <w:t xml:space="preserve">“KOL持仓”</w:t>
      </w:r>
      <w:r>
        <w:rPr>
          <w:rFonts w:hint="eastAsia"/>
        </w:rPr>
        <w:t xml:space="preserve">等非结构化事件信号，做出即时的买入或卖出判断。V3能够高效地处理这些混合数据，并快速生成决策建议，是此类高频、低复杂度决策任务的理想选择。</w:t>
      </w:r>
    </w:p>
    <w:p>
      <w:pPr>
        <w:pStyle w:val="BodyText"/>
      </w:pPr>
      <w:r>
        <w:rPr>
          <w:b/>
          <w:bCs/>
        </w:rPr>
        <w:t xml:space="preserve">DeepSeek-R1</w:t>
      </w:r>
      <w:r>
        <w:t xml:space="preserve"> </w:t>
      </w:r>
      <w:r>
        <w:rPr>
          <w:rFonts w:hint="eastAsia"/>
        </w:rPr>
        <w:t xml:space="preserve">则是一款专为</w:t>
      </w:r>
      <w:r>
        <w:t xml:space="preserve"> </w:t>
      </w:r>
      <w:r>
        <w:rPr>
          <w:rFonts w:hint="eastAsia"/>
          <w:b/>
          <w:bCs/>
        </w:rPr>
        <w:t xml:space="preserve">复杂逻辑推理</w:t>
      </w:r>
      <w:r>
        <w:t xml:space="preserve"> </w:t>
      </w:r>
      <w:r>
        <w:rPr>
          <w:rFonts w:hint="eastAsia"/>
        </w:rPr>
        <w:t xml:space="preserve">和</w:t>
      </w:r>
      <w:r>
        <w:t xml:space="preserve"> </w:t>
      </w:r>
      <w:r>
        <w:rPr>
          <w:rFonts w:hint="eastAsia"/>
          <w:b/>
          <w:bCs/>
        </w:rPr>
        <w:t xml:space="preserve">深度思考</w:t>
      </w:r>
      <w:r>
        <w:t xml:space="preserve"> </w:t>
      </w:r>
      <w:r>
        <w:rPr>
          <w:rFonts w:hint="eastAsia"/>
        </w:rPr>
        <w:t xml:space="preserve">任务而设计的模型。它在设计上更侧重于解决那些需要多步推理、数学证明或代码调试等挑战性问题。在交易领域，这意味着R1更适合处理那些依赖于深度基本面分析、复杂金融模型（如CVaR风险评估）或需要对市场新闻、监管政策等进行精细解读的策略。例如，当系统需要评估一个新兴项目的长期潜力时，它需要整合该项目的白皮书、团队背景、社区讨论等海量文本信息，并进行层层递进的逻辑推演。R1的“链式思考”能力在此类任务中能发挥出巨大优势，尽管其响应速度可能稍慢，且API调用成本更高，但对于追求决策深度和准确性的复杂策略而言，这笔投入是值得的。</w:t>
      </w:r>
    </w:p>
    <w:p>
      <w:pPr>
        <w:pStyle w:val="BodyText"/>
      </w:pPr>
      <w:r>
        <w:rPr>
          <w:rFonts w:hint="eastAsia"/>
        </w:rPr>
        <w:t xml:space="preserve">由此可见，模型的选型并非非此即彼的选择，而是一个基于策略复杂度的决策框架。对于本项目，我们建议采用</w:t>
      </w:r>
      <w:r>
        <w:t xml:space="preserve"> </w:t>
      </w:r>
      <w:r>
        <w:rPr>
          <w:rFonts w:hint="eastAsia"/>
          <w:b/>
          <w:bCs/>
        </w:rPr>
        <w:t xml:space="preserve">分层决策</w:t>
      </w:r>
      <w:r>
        <w:t xml:space="preserve"> </w:t>
      </w:r>
      <w:r>
        <w:rPr>
          <w:rFonts w:hint="eastAsia"/>
        </w:rPr>
        <w:t xml:space="preserve">的架构：</w:t>
      </w:r>
    </w:p>
    <w:p>
      <w:pPr>
        <w:numPr>
          <w:ilvl w:val="0"/>
          <w:numId w:val="1003"/>
        </w:numPr>
      </w:pPr>
      <w:r>
        <w:rPr>
          <w:rFonts w:hint="eastAsia"/>
          <w:b/>
          <w:bCs/>
        </w:rPr>
        <w:t xml:space="preserve">使用DeepSeek-V3作为第一决策层</w:t>
      </w:r>
      <w:r>
        <w:t xml:space="preserve"> </w:t>
      </w:r>
      <w:r>
        <w:rPr>
          <w:rFonts w:hint="eastAsia"/>
        </w:rPr>
        <w:t xml:space="preserve">：负责处理实时市场数据流，识别技术指标信号和GMGN事件信号，并生成初步的交易建议（如“基于当前RSI指标，建议买入”）。</w:t>
      </w:r>
    </w:p>
    <w:p>
      <w:pPr>
        <w:numPr>
          <w:ilvl w:val="0"/>
          <w:numId w:val="1003"/>
        </w:numPr>
      </w:pPr>
      <w:r>
        <w:rPr>
          <w:rFonts w:hint="eastAsia"/>
          <w:b/>
          <w:bCs/>
        </w:rPr>
        <w:t xml:space="preserve">使用DeepSeek-R1作为第二决策层</w:t>
      </w:r>
      <w:r>
        <w:t xml:space="preserve"> </w:t>
      </w:r>
      <w:r>
        <w:rPr>
          <w:rFonts w:hint="eastAsia"/>
        </w:rPr>
        <w:t xml:space="preserve">：负责对V3生成的初步建议进行复核和深度分析。特别是在涉及重大仓位调整或应对极端市场事件时，将关键信息输入R1，利用其强大的推理能力进行最终的决策确认。</w:t>
      </w:r>
    </w:p>
    <w:p>
      <w:pPr>
        <w:pStyle w:val="FirstParagraph"/>
      </w:pPr>
      <w:r>
        <w:rPr>
          <w:rFonts w:hint="eastAsia"/>
        </w:rPr>
        <w:t xml:space="preserve">这种组合方式，既能保证系统在常规市场条件下的快速响应，又能在关键决策时刻借助更强大的推理能力，从而在速度与深度之间取得平衡，提升整体交易策略的稳健性。</w:t>
      </w:r>
    </w:p>
    <w:bookmarkEnd w:id="29"/>
    <w:bookmarkStart w:id="30" w:name="api接入与集成技术方案"/>
    <w:p>
      <w:pPr>
        <w:pStyle w:val="3"/>
      </w:pPr>
      <w:r>
        <w:t xml:space="preserve">3.3 </w:t>
      </w:r>
      <w:r>
        <w:rPr>
          <w:rFonts w:hint="eastAsia"/>
        </w:rPr>
        <w:t xml:space="preserve">API接入与集成技术方案</w:t>
      </w:r>
    </w:p>
    <w:p>
      <w:pPr>
        <w:pStyle w:val="FirstParagraph"/>
      </w:pPr>
      <w:r>
        <w:rPr>
          <w:rFonts w:hint="eastAsia"/>
        </w:rPr>
        <w:t xml:space="preserve">选定了DeepSeek作为AI决策引擎后，下一步便是将其强大的能力通过API接口无缝集成到我们的交易系统中。DeepSeek提供了与OpenAI高度兼容的API，这极大地简化了集成过程，使得开发者可以利用成熟的生态工具和库来快速构建调用逻辑。</w:t>
      </w:r>
    </w:p>
    <w:p>
      <w:pPr>
        <w:pStyle w:val="BodyText"/>
      </w:pPr>
      <w:r>
        <w:rPr>
          <w:rFonts w:hint="eastAsia"/>
        </w:rPr>
        <w:t xml:space="preserve">在Python环境下，集成DeepSeek</w:t>
      </w:r>
      <w:r>
        <w:t xml:space="preserve"> </w:t>
      </w:r>
      <w:r>
        <w:rPr>
          <w:rFonts w:hint="eastAsia"/>
        </w:rPr>
        <w:t xml:space="preserve">API主要有两种技术路径：</w:t>
      </w:r>
    </w:p>
    <w:p>
      <w:pPr>
        <w:numPr>
          <w:ilvl w:val="0"/>
          <w:numId w:val="1004"/>
        </w:numPr>
      </w:pPr>
      <w:r>
        <w:rPr>
          <w:rFonts w:hint="eastAsia"/>
          <w:b/>
          <w:bCs/>
        </w:rPr>
        <w:t xml:space="preserve">使用官方客户端库</w:t>
      </w:r>
      <w:r>
        <w:t xml:space="preserve"> </w:t>
      </w:r>
      <w:r>
        <w:rPr>
          <w:rFonts w:hint="eastAsia"/>
        </w:rPr>
        <w:t xml:space="preserve">：DeepSeek官方推荐使用与OpenAI兼容的客户端库，例如</w:t>
      </w:r>
      <w:r>
        <w:rPr>
          <w:rStyle w:val="VerbatimChar"/>
        </w:rPr>
        <w:t xml:space="preserve">openai</w:t>
      </w:r>
      <w:r>
        <w:rPr>
          <w:rFonts w:hint="eastAsia"/>
        </w:rPr>
        <w:t xml:space="preserve">库。通过设置</w:t>
      </w:r>
      <w:r>
        <w:rPr>
          <w:rStyle w:val="VerbatimChar"/>
        </w:rPr>
        <w:t xml:space="preserve">base_url</w:t>
      </w:r>
      <w:r>
        <w:rPr>
          <w:rFonts w:hint="eastAsia"/>
        </w:rPr>
        <w:t xml:space="preserve">为DeepSeek的API端点，可以实现几乎无缝的对接。这种方法代码简洁，易于维护，是大多数开发者的首选。</w:t>
      </w:r>
    </w:p>
    <w:p>
      <w:pPr>
        <w:numPr>
          <w:ilvl w:val="0"/>
          <w:numId w:val="1004"/>
        </w:numPr>
      </w:pPr>
      <w:r>
        <w:rPr>
          <w:rFonts w:hint="eastAsia"/>
          <w:b/>
          <w:bCs/>
        </w:rPr>
        <w:t xml:space="preserve">使用</w:t>
      </w:r>
      <w:r>
        <w:rPr>
          <w:rStyle w:val="VerbatimChar"/>
          <w:b/>
          <w:bCs/>
        </w:rPr>
        <w:t xml:space="preserve">requests</w:t>
      </w:r>
      <w:r>
        <w:rPr>
          <w:rFonts w:hint="eastAsia"/>
          <w:b/>
          <w:bCs/>
        </w:rPr>
        <w:t xml:space="preserve">库直接调用</w:t>
      </w:r>
      <w:r>
        <w:t xml:space="preserve"> </w:t>
      </w:r>
      <w:r>
        <w:rPr>
          <w:rFonts w:hint="eastAsia"/>
        </w:rPr>
        <w:t xml:space="preserve">：对于希望完全掌控HTTP请求细节或在无法安装额外库的环境中，也可以使用Python标准库中的</w:t>
      </w:r>
      <w:r>
        <w:rPr>
          <w:rStyle w:val="VerbatimChar"/>
        </w:rPr>
        <w:t xml:space="preserve">requests</w:t>
      </w:r>
      <w:r>
        <w:rPr>
          <w:rFonts w:hint="eastAsia"/>
        </w:rPr>
        <w:t xml:space="preserve">模块直接构造POST请求。</w:t>
      </w:r>
    </w:p>
    <w:p>
      <w:pPr>
        <w:pStyle w:val="FirstParagraph"/>
      </w:pPr>
      <w:r>
        <w:rPr>
          <w:rFonts w:hint="eastAsia"/>
        </w:rPr>
        <w:t xml:space="preserve">以下是一个使用</w:t>
      </w:r>
      <w:r>
        <w:rPr>
          <w:rStyle w:val="VerbatimChar"/>
        </w:rPr>
        <w:t xml:space="preserve">requests</w:t>
      </w:r>
      <w:r>
        <w:rPr>
          <w:rFonts w:hint="eastAsia"/>
        </w:rPr>
        <w:t xml:space="preserve">库调用DeepSeek-V3</w:t>
      </w:r>
      <w:r>
        <w:t xml:space="preserve"> </w:t>
      </w:r>
      <w:r>
        <w:rPr>
          <w:rFonts w:hint="eastAsia"/>
        </w:rPr>
        <w:t xml:space="preserve">API的简化代码示例，展示了核心的集成技术：</w:t>
      </w:r>
    </w:p>
    <w:p>
      <w:pPr>
        <w:pStyle w:val="SourceCode"/>
      </w:pPr>
      <w:r>
        <w:br/>
      </w:r>
      <w:r>
        <w:rPr>
          <w:rStyle w:val="ImportTok"/>
        </w:rPr>
        <w:t xml:space="preserve">import</w:t>
      </w:r>
      <w:r>
        <w:rPr>
          <w:rStyle w:val="NormalTok"/>
        </w:rPr>
        <w:t xml:space="preserve"> requests</w:t>
      </w:r>
      <w:r>
        <w:br/>
      </w:r>
      <w:r>
        <w:br/>
      </w:r>
      <w:r>
        <w:rPr>
          <w:rStyle w:val="ImportTok"/>
        </w:rPr>
        <w:t xml:space="preserve">import</w:t>
      </w:r>
      <w:r>
        <w:rPr>
          <w:rStyle w:val="NormalTok"/>
        </w:rPr>
        <w:t xml:space="preserve"> json</w:t>
      </w:r>
      <w:r>
        <w:br/>
      </w:r>
      <w:r>
        <w:br/>
      </w:r>
      <w:r>
        <w:rPr>
          <w:rStyle w:val="KeywordTok"/>
        </w:rPr>
        <w:t xml:space="preserve">def</w:t>
      </w:r>
      <w:r>
        <w:rPr>
          <w:rStyle w:val="NormalTok"/>
        </w:rPr>
        <w:t xml:space="preserve"> call_deepseek_api(prompt, api_key, model</w:t>
      </w:r>
      <w:r>
        <w:rPr>
          <w:rStyle w:val="OperatorTok"/>
        </w:rPr>
        <w:t xml:space="preserve">=</w:t>
      </w:r>
      <w:r>
        <w:rPr>
          <w:rStyle w:val="StringTok"/>
        </w:rPr>
        <w:t xml:space="preserve">"deepseek-chat"</w:t>
      </w:r>
      <w:r>
        <w:rPr>
          <w:rStyle w:val="NormalTok"/>
        </w:rPr>
        <w:t xml:space="preserve">):</w:t>
      </w:r>
      <w:r>
        <w:br/>
      </w:r>
      <w:r>
        <w:br/>
      </w:r>
      <w:r>
        <w:rPr>
          <w:rStyle w:val="NormalTok"/>
        </w:rPr>
        <w:t xml:space="preserve">    url </w:t>
      </w:r>
      <w:r>
        <w:rPr>
          <w:rStyle w:val="OperatorTok"/>
        </w:rPr>
        <w:t xml:space="preserve">=</w:t>
      </w:r>
      <w:r>
        <w:rPr>
          <w:rStyle w:val="NormalTok"/>
        </w:rPr>
        <w:t xml:space="preserve"> </w:t>
      </w:r>
      <w:r>
        <w:rPr>
          <w:rStyle w:val="StringTok"/>
        </w:rPr>
        <w:t xml:space="preserve">"https://api.deepseek.com/v1/chat/completions"</w:t>
      </w:r>
      <w:r>
        <w:rPr>
          <w:rStyle w:val="NormalTok"/>
        </w:rPr>
        <w:t xml:space="preserve">  </w:t>
      </w:r>
      <w:r>
        <w:rPr>
          <w:rStyle w:val="CommentTok"/>
        </w:rPr>
        <w:t xml:space="preserve"># API端点</w:t>
      </w:r>
      <w:r>
        <w:br/>
      </w:r>
      <w:r>
        <w:br/>
      </w:r>
      <w:r>
        <w:rPr>
          <w:rStyle w:val="NormalTok"/>
        </w:rPr>
        <w:t xml:space="preserve">    headers </w:t>
      </w:r>
      <w:r>
        <w:rPr>
          <w:rStyle w:val="OperatorTok"/>
        </w:rPr>
        <w:t xml:space="preserve">=</w:t>
      </w:r>
      <w:r>
        <w:rPr>
          <w:rStyle w:val="NormalTok"/>
        </w:rPr>
        <w:t xml:space="preserve"> {</w:t>
      </w:r>
      <w:r>
        <w:br/>
      </w:r>
      <w:r>
        <w:br/>
      </w:r>
      <w:r>
        <w:rPr>
          <w:rStyle w:val="NormalTok"/>
        </w:rPr>
        <w:t xml:space="preserve">        </w:t>
      </w:r>
      <w:r>
        <w:rPr>
          <w:rStyle w:val="StringTok"/>
        </w:rPr>
        <w:t xml:space="preserve">"Content-Type"</w:t>
      </w:r>
      <w:r>
        <w:rPr>
          <w:rStyle w:val="NormalTok"/>
        </w:rPr>
        <w:t xml:space="preserve">: </w:t>
      </w:r>
      <w:r>
        <w:rPr>
          <w:rStyle w:val="StringTok"/>
        </w:rPr>
        <w:t xml:space="preserve">"application/json"</w:t>
      </w:r>
      <w:r>
        <w:rPr>
          <w:rStyle w:val="NormalTok"/>
        </w:rPr>
        <w:t xml:space="preserve">,</w:t>
      </w:r>
      <w:r>
        <w:br/>
      </w:r>
      <w:r>
        <w:br/>
      </w:r>
      <w:r>
        <w:rPr>
          <w:rStyle w:val="NormalTok"/>
        </w:rPr>
        <w:t xml:space="preserve">        </w:t>
      </w:r>
      <w:r>
        <w:rPr>
          <w:rStyle w:val="StringTok"/>
        </w:rPr>
        <w:t xml:space="preserve">"Authorization"</w:t>
      </w:r>
      <w:r>
        <w:rPr>
          <w:rStyle w:val="NormalTok"/>
        </w:rPr>
        <w:t xml:space="preserve">: </w:t>
      </w:r>
      <w:r>
        <w:rPr>
          <w:rStyle w:val="SpecialStringTok"/>
        </w:rPr>
        <w:t xml:space="preserve">f"Bearer </w:t>
      </w:r>
      <w:r>
        <w:rPr>
          <w:rStyle w:val="SpecialCharTok"/>
        </w:rPr>
        <w:t xml:space="preserve">{</w:t>
      </w:r>
      <w:r>
        <w:rPr>
          <w:rStyle w:val="NormalTok"/>
        </w:rPr>
        <w:t xml:space="preserve">api_key</w:t>
      </w:r>
      <w:r>
        <w:rPr>
          <w:rStyle w:val="SpecialCharTok"/>
        </w:rPr>
        <w:t xml:space="preserve">}</w:t>
      </w:r>
      <w:r>
        <w:rPr>
          <w:rStyle w:val="SpecialStringTok"/>
        </w:rPr>
        <w:t xml:space="preserve">"</w:t>
      </w:r>
      <w:r>
        <w:rPr>
          <w:rStyle w:val="NormalTok"/>
        </w:rPr>
        <w:t xml:space="preserve">  </w:t>
      </w:r>
      <w:r>
        <w:rPr>
          <w:rStyle w:val="CommentTok"/>
        </w:rPr>
        <w:t xml:space="preserve"># 身份验证</w:t>
      </w:r>
      <w:r>
        <w:br/>
      </w:r>
      <w:r>
        <w:br/>
      </w:r>
      <w:r>
        <w:rPr>
          <w:rStyle w:val="NormalTok"/>
        </w:rPr>
        <w:t xml:space="preserve">    }</w:t>
      </w:r>
      <w:r>
        <w:br/>
      </w:r>
      <w:r>
        <w:rPr>
          <w:rStyle w:val="NormalTok"/>
        </w:rPr>
        <w:t xml:space="preserve">    data </w:t>
      </w:r>
      <w:r>
        <w:rPr>
          <w:rStyle w:val="OperatorTok"/>
        </w:rPr>
        <w:t xml:space="preserve">=</w:t>
      </w:r>
      <w:r>
        <w:rPr>
          <w:rStyle w:val="NormalTok"/>
        </w:rPr>
        <w:t xml:space="preserve"> {</w:t>
      </w:r>
      <w:r>
        <w:br/>
      </w:r>
      <w:r>
        <w:br/>
      </w:r>
      <w:r>
        <w:rPr>
          <w:rStyle w:val="NormalTok"/>
        </w:rPr>
        <w:t xml:space="preserve">        </w:t>
      </w:r>
      <w:r>
        <w:rPr>
          <w:rStyle w:val="StringTok"/>
        </w:rPr>
        <w:t xml:space="preserve">"model"</w:t>
      </w:r>
      <w:r>
        <w:rPr>
          <w:rStyle w:val="NormalTok"/>
        </w:rPr>
        <w:t xml:space="preserve">: model,</w:t>
      </w:r>
      <w:r>
        <w:br/>
      </w:r>
      <w:r>
        <w:br/>
      </w:r>
      <w:r>
        <w:rPr>
          <w:rStyle w:val="NormalTok"/>
        </w:rPr>
        <w:t xml:space="preserve">        </w:t>
      </w:r>
      <w:r>
        <w:rPr>
          <w:rStyle w:val="StringTok"/>
        </w:rPr>
        <w:t xml:space="preserve">"messages"</w:t>
      </w:r>
      <w:r>
        <w:rPr>
          <w:rStyle w:val="NormalTok"/>
        </w:rPr>
        <w:t xml:space="preserve">: [{</w:t>
      </w:r>
      <w:r>
        <w:rPr>
          <w:rStyle w:val="StringTok"/>
        </w:rPr>
        <w:t xml:space="preserve">"role"</w:t>
      </w:r>
      <w:r>
        <w:rPr>
          <w:rStyle w:val="NormalTok"/>
        </w:rPr>
        <w:t xml:space="preserve">: </w:t>
      </w:r>
      <w:r>
        <w:rPr>
          <w:rStyle w:val="StringTok"/>
        </w:rPr>
        <w:t xml:space="preserve">"user"</w:t>
      </w:r>
      <w:r>
        <w:rPr>
          <w:rStyle w:val="NormalTok"/>
        </w:rPr>
        <w:t xml:space="preserve">, </w:t>
      </w:r>
      <w:r>
        <w:rPr>
          <w:rStyle w:val="StringTok"/>
        </w:rPr>
        <w:t xml:space="preserve">"content"</w:t>
      </w:r>
      <w:r>
        <w:rPr>
          <w:rStyle w:val="NormalTok"/>
        </w:rPr>
        <w:t xml:space="preserve">: prompt}],</w:t>
      </w:r>
      <w:r>
        <w:br/>
      </w:r>
      <w:r>
        <w:br/>
      </w:r>
      <w:r>
        <w:rPr>
          <w:rStyle w:val="NormalTok"/>
        </w:rPr>
        <w:t xml:space="preserve">        </w:t>
      </w:r>
      <w:r>
        <w:rPr>
          <w:rStyle w:val="StringTok"/>
        </w:rPr>
        <w:t xml:space="preserve">"stream"</w:t>
      </w:r>
      <w:r>
        <w:rPr>
          <w:rStyle w:val="NormalTok"/>
        </w:rPr>
        <w:t xml:space="preserve">: </w:t>
      </w:r>
      <w:r>
        <w:rPr>
          <w:rStyle w:val="VariableTok"/>
        </w:rPr>
        <w:t xml:space="preserve">False</w:t>
      </w:r>
      <w:r>
        <w:rPr>
          <w:rStyle w:val="NormalTok"/>
        </w:rPr>
        <w:t xml:space="preserve">,  </w:t>
      </w:r>
      <w:r>
        <w:rPr>
          <w:rStyle w:val="CommentTok"/>
        </w:rPr>
        <w:t xml:space="preserve"># 是否启用流式响应，可设为True以获取增量结果</w:t>
      </w:r>
      <w:r>
        <w:br/>
      </w:r>
      <w:r>
        <w:br/>
      </w:r>
      <w:r>
        <w:rPr>
          <w:rStyle w:val="NormalTok"/>
        </w:rPr>
        <w:t xml:space="preserve">        </w:t>
      </w:r>
      <w:r>
        <w:rPr>
          <w:rStyle w:val="StringTok"/>
        </w:rPr>
        <w:t xml:space="preserve">"temperature"</w:t>
      </w:r>
      <w:r>
        <w:rPr>
          <w:rStyle w:val="NormalTok"/>
        </w:rPr>
        <w:t xml:space="preserve">: </w:t>
      </w:r>
      <w:r>
        <w:rPr>
          <w:rStyle w:val="FloatTok"/>
        </w:rPr>
        <w:t xml:space="preserve">0.1</w:t>
      </w:r>
      <w:r>
        <w:rPr>
          <w:rStyle w:val="NormalTok"/>
        </w:rPr>
        <w:t xml:space="preserve">  </w:t>
      </w:r>
      <w:r>
        <w:rPr>
          <w:rStyle w:val="CommentTok"/>
        </w:rPr>
        <w:t xml:space="preserve"># 控制输出的随机性，较低值更适合确定性决策任务</w:t>
      </w:r>
      <w:r>
        <w:br/>
      </w:r>
      <w:r>
        <w:br/>
      </w:r>
      <w:r>
        <w:rPr>
          <w:rStyle w:val="NormalTok"/>
        </w:rPr>
        <w:t xml:space="preserve">    }</w:t>
      </w:r>
      <w:r>
        <w:br/>
      </w:r>
      <w:r>
        <w:br/>
      </w:r>
      <w:r>
        <w:rPr>
          <w:rStyle w:val="NormalTok"/>
        </w:rPr>
        <w:t xml:space="preserve">    </w:t>
      </w:r>
      <w:r>
        <w:rPr>
          <w:rStyle w:val="ControlFlowTok"/>
        </w:rPr>
        <w:t xml:space="preserve">try</w:t>
      </w:r>
      <w:r>
        <w:rPr>
          <w:rStyle w:val="NormalTok"/>
        </w:rPr>
        <w:t xml:space="preserve">:</w:t>
      </w:r>
      <w:r>
        <w:br/>
      </w:r>
      <w:r>
        <w:br/>
      </w:r>
      <w:r>
        <w:rPr>
          <w:rStyle w:val="NormalTok"/>
        </w:rPr>
        <w:t xml:space="preserve">        response </w:t>
      </w:r>
      <w:r>
        <w:rPr>
          <w:rStyle w:val="OperatorTok"/>
        </w:rPr>
        <w:t xml:space="preserve">=</w:t>
      </w:r>
      <w:r>
        <w:rPr>
          <w:rStyle w:val="NormalTok"/>
        </w:rPr>
        <w:t xml:space="preserve"> requests.post(url, headers</w:t>
      </w:r>
      <w:r>
        <w:rPr>
          <w:rStyle w:val="OperatorTok"/>
        </w:rPr>
        <w:t xml:space="preserve">=</w:t>
      </w:r>
      <w:r>
        <w:rPr>
          <w:rStyle w:val="NormalTok"/>
        </w:rPr>
        <w:t xml:space="preserve">headers, data</w:t>
      </w:r>
      <w:r>
        <w:rPr>
          <w:rStyle w:val="OperatorTok"/>
        </w:rPr>
        <w:t xml:space="preserve">=</w:t>
      </w:r>
      <w:r>
        <w:rPr>
          <w:rStyle w:val="NormalTok"/>
        </w:rPr>
        <w:t xml:space="preserve">json.dumps(data), timeout</w:t>
      </w:r>
      <w:r>
        <w:rPr>
          <w:rStyle w:val="OperatorTok"/>
        </w:rPr>
        <w:t xml:space="preserve">=</w:t>
      </w:r>
      <w:r>
        <w:rPr>
          <w:rStyle w:val="DecValTok"/>
        </w:rPr>
        <w:t xml:space="preserve">10</w:t>
      </w:r>
      <w:r>
        <w:rPr>
          <w:rStyle w:val="NormalTok"/>
        </w:rPr>
        <w:t xml:space="preserve">)</w:t>
      </w:r>
      <w:r>
        <w:br/>
      </w:r>
      <w:r>
        <w:br/>
      </w:r>
      <w:r>
        <w:rPr>
          <w:rStyle w:val="NormalTok"/>
        </w:rPr>
        <w:t xml:space="preserve">        response.raise_for_status()  </w:t>
      </w:r>
      <w:r>
        <w:rPr>
          <w:rStyle w:val="CommentTok"/>
        </w:rPr>
        <w:t xml:space="preserve"># 抛出HTTP错误</w:t>
      </w:r>
      <w:r>
        <w:br/>
      </w:r>
      <w:r>
        <w:br/>
      </w:r>
      <w:r>
        <w:rPr>
          <w:rStyle w:val="NormalTok"/>
        </w:rPr>
        <w:t xml:space="preserve">        </w:t>
      </w:r>
      <w:r>
        <w:rPr>
          <w:rStyle w:val="ControlFlowTok"/>
        </w:rPr>
        <w:t xml:space="preserve">return</w:t>
      </w:r>
      <w:r>
        <w:rPr>
          <w:rStyle w:val="NormalTok"/>
        </w:rPr>
        <w:t xml:space="preserve"> response.json()[</w:t>
      </w:r>
      <w:r>
        <w:rPr>
          <w:rStyle w:val="StringTok"/>
        </w:rPr>
        <w:t xml:space="preserve">"content"</w:t>
      </w:r>
      <w:r>
        <w:rPr>
          <w:rStyle w:val="NormalTok"/>
        </w:rPr>
        <w:t xml:space="preserve">]</w:t>
      </w:r>
      <w:r>
        <w:br/>
      </w:r>
      <w:r>
        <w:br/>
      </w:r>
      <w:r>
        <w:rPr>
          <w:rStyle w:val="NormalTok"/>
        </w:rPr>
        <w:t xml:space="preserve">    </w:t>
      </w:r>
      <w:r>
        <w:rPr>
          <w:rStyle w:val="ControlFlowTok"/>
        </w:rPr>
        <w:t xml:space="preserve">except</w:t>
      </w:r>
      <w:r>
        <w:rPr>
          <w:rStyle w:val="NormalTok"/>
        </w:rPr>
        <w:t xml:space="preserve"> requests.exceptions.RequestException </w:t>
      </w:r>
      <w:r>
        <w:rPr>
          <w:rStyle w:val="ImportTok"/>
        </w:rPr>
        <w:t xml:space="preserve">as</w:t>
      </w:r>
      <w:r>
        <w:rPr>
          <w:rStyle w:val="NormalTok"/>
        </w:rPr>
        <w:t xml:space="preserve"> e:</w:t>
      </w:r>
      <w:r>
        <w:br/>
      </w:r>
      <w:r>
        <w:br/>
      </w:r>
      <w:r>
        <w:rPr>
          <w:rStyle w:val="NormalTok"/>
        </w:rPr>
        <w:t xml:space="preserve">        </w:t>
      </w:r>
      <w:r>
        <w:rPr>
          <w:rStyle w:val="CommentTok"/>
        </w:rPr>
        <w:t xml:space="preserve"># 实现错误重试与处理逻辑，例如网络中断、API返回错误等</w:t>
      </w:r>
      <w:r>
        <w:br/>
      </w:r>
      <w:r>
        <w:br/>
      </w:r>
      <w:r>
        <w:rPr>
          <w:rStyle w:val="NormalTok"/>
        </w:rPr>
        <w:t xml:space="preserve">        </w:t>
      </w:r>
      <w:r>
        <w:rPr>
          <w:rStyle w:val="BuiltInTok"/>
        </w:rPr>
        <w:t xml:space="preserve">print</w:t>
      </w:r>
      <w:r>
        <w:rPr>
          <w:rStyle w:val="NormalTok"/>
        </w:rPr>
        <w:t xml:space="preserve">(</w:t>
      </w:r>
      <w:r>
        <w:rPr>
          <w:rStyle w:val="SpecialStringTok"/>
        </w:rPr>
        <w:t xml:space="preserve">f"API调用失败: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CommentTok"/>
        </w:rPr>
        <w:t xml:space="preserve"># 可在此处添加重试机制，例如使用tenacity库</w:t>
      </w:r>
      <w:r>
        <w:br/>
      </w:r>
      <w:r>
        <w:br/>
      </w:r>
      <w:r>
        <w:rPr>
          <w:rStyle w:val="NormalTok"/>
        </w:rPr>
        <w:t xml:space="preserve">        </w:t>
      </w:r>
      <w:r>
        <w:rPr>
          <w:rStyle w:val="ControlFlowTok"/>
        </w:rPr>
        <w:t xml:space="preserve">return</w:t>
      </w:r>
      <w:r>
        <w:rPr>
          <w:rStyle w:val="NormalTok"/>
        </w:rPr>
        <w:t xml:space="preserve"> </w:t>
      </w:r>
      <w:r>
        <w:rPr>
          <w:rStyle w:val="VariableTok"/>
        </w:rPr>
        <w:t xml:space="preserve">None</w:t>
      </w:r>
    </w:p>
    <w:p>
      <w:pPr>
        <w:pStyle w:val="FirstParagraph"/>
      </w:pPr>
      <w:r>
        <w:rPr>
          <w:rFonts w:hint="eastAsia"/>
        </w:rPr>
        <w:t xml:space="preserve">在集成过程中，必须重点关注以下几个技术要点：</w:t>
      </w:r>
    </w:p>
    <w:p>
      <w:pPr>
        <w:numPr>
          <w:ilvl w:val="0"/>
          <w:numId w:val="1005"/>
        </w:numPr>
      </w:pPr>
      <w:r>
        <w:rPr>
          <w:rFonts w:hint="eastAsia"/>
          <w:b/>
          <w:bCs/>
        </w:rPr>
        <w:t xml:space="preserve">身份验证</w:t>
      </w:r>
      <w:r>
        <w:t xml:space="preserve"> </w:t>
      </w:r>
      <w:r>
        <w:rPr>
          <w:rFonts w:hint="eastAsia"/>
        </w:rPr>
        <w:t xml:space="preserve">：所有API请求都必须在</w:t>
      </w:r>
      <w:r>
        <w:rPr>
          <w:rStyle w:val="VerbatimChar"/>
        </w:rPr>
        <w:t xml:space="preserve">Authorization</w:t>
      </w:r>
      <w:r>
        <w:rPr>
          <w:rFonts w:hint="eastAsia"/>
        </w:rPr>
        <w:t xml:space="preserve">头部携带有效的Bearer令牌，该令牌即开发者在DeepSeek平台上生成的API密钥。</w:t>
      </w:r>
    </w:p>
    <w:p>
      <w:pPr>
        <w:numPr>
          <w:ilvl w:val="0"/>
          <w:numId w:val="1005"/>
        </w:numPr>
      </w:pPr>
      <w:r>
        <w:rPr>
          <w:rFonts w:hint="eastAsia"/>
          <w:b/>
          <w:bCs/>
        </w:rPr>
        <w:t xml:space="preserve">请求构造</w:t>
      </w:r>
      <w:r>
        <w:t xml:space="preserve"> </w:t>
      </w:r>
      <w:r>
        <w:rPr>
          <w:rFonts w:hint="eastAsia"/>
        </w:rPr>
        <w:t xml:space="preserve">：核心请求数据包含模型名称、对话消息列表和生成参数。其中，</w:t>
      </w:r>
      <w:r>
        <w:rPr>
          <w:rStyle w:val="VerbatimChar"/>
        </w:rPr>
        <w:t xml:space="preserve">messages</w:t>
      </w:r>
      <w:r>
        <w:rPr>
          <w:rFonts w:hint="eastAsia"/>
        </w:rPr>
        <w:t xml:space="preserve">字段用于传递上下文，</w:t>
      </w:r>
      <w:r>
        <w:rPr>
          <w:rStyle w:val="VerbatimChar"/>
        </w:rPr>
        <w:t xml:space="preserve">temperature</w:t>
      </w:r>
      <w:r>
        <w:rPr>
          <w:rFonts w:hint="eastAsia"/>
        </w:rPr>
        <w:t xml:space="preserve">等参数则直接影响模型的输出风格。</w:t>
      </w:r>
    </w:p>
    <w:p>
      <w:pPr>
        <w:numPr>
          <w:ilvl w:val="0"/>
          <w:numId w:val="1005"/>
        </w:numPr>
      </w:pPr>
      <w:r>
        <w:rPr>
          <w:rFonts w:hint="eastAsia"/>
          <w:b/>
          <w:bCs/>
        </w:rPr>
        <w:t xml:space="preserve">响应处理</w:t>
      </w:r>
      <w:r>
        <w:t xml:space="preserve"> </w:t>
      </w:r>
      <w:r>
        <w:rPr>
          <w:rFonts w:hint="eastAsia"/>
        </w:rPr>
        <w:t xml:space="preserve">：API返回的是一个JSON格式的响应，需要从中提取</w:t>
      </w:r>
      <w:r>
        <w:rPr>
          <w:rStyle w:val="VerbatimChar"/>
        </w:rPr>
        <w:t xml:space="preserve">choices.message.content</w:t>
      </w:r>
      <w:r>
        <w:rPr>
          <w:rFonts w:hint="eastAsia"/>
        </w:rPr>
        <w:t xml:space="preserve">字段来获取模型的最终回答。</w:t>
      </w:r>
    </w:p>
    <w:p>
      <w:pPr>
        <w:numPr>
          <w:ilvl w:val="0"/>
          <w:numId w:val="1005"/>
        </w:numPr>
      </w:pPr>
      <w:r>
        <w:rPr>
          <w:rFonts w:hint="eastAsia"/>
          <w:b/>
          <w:bCs/>
        </w:rPr>
        <w:t xml:space="preserve">错误处理与重试</w:t>
      </w:r>
      <w:r>
        <w:t xml:space="preserve"> </w:t>
      </w:r>
      <w:r>
        <w:rPr>
          <w:rFonts w:hint="eastAsia"/>
        </w:rPr>
        <w:t xml:space="preserve">：这是确保系统健壮性的关键。必须实现对网络请求失败、API返回错误状态码（如429速率限制）等情况的处理逻辑，并加入指数退避等重试机制，以应对潜在的服务中断。</w:t>
      </w:r>
    </w:p>
    <w:bookmarkEnd w:id="30"/>
    <w:bookmarkStart w:id="31" w:name="核心技术提示词工程prompt-engineering"/>
    <w:p>
      <w:pPr>
        <w:pStyle w:val="3"/>
      </w:pPr>
      <w:r>
        <w:t xml:space="preserve">3.4 </w:t>
      </w:r>
      <w:r>
        <w:rPr>
          <w:rFonts w:hint="eastAsia"/>
        </w:rPr>
        <w:t xml:space="preserve">核心技术：提示词工程（Prompt</w:t>
      </w:r>
      <w:r>
        <w:t xml:space="preserve"> </w:t>
      </w:r>
      <w:r>
        <w:rPr>
          <w:rFonts w:hint="eastAsia"/>
        </w:rPr>
        <w:t xml:space="preserve">Engineering）</w:t>
      </w:r>
    </w:p>
    <w:p>
      <w:pPr>
        <w:pStyle w:val="FirstParagraph"/>
      </w:pPr>
      <w:r>
        <w:rPr>
          <w:rFonts w:hint="eastAsia"/>
        </w:rPr>
        <w:t xml:space="preserve">如果说模型选型和API集成是将AI能力接入系统的“硬件”基础，那么提示词工程（Prompt</w:t>
      </w:r>
      <w:r>
        <w:t xml:space="preserve"> </w:t>
      </w:r>
      <w:r>
        <w:rPr>
          <w:rFonts w:hint="eastAsia"/>
        </w:rPr>
        <w:t xml:space="preserve">Engineering）则是决定其决策质量的“软件”核心。一个精心设计的提示词，能够引导大型语言模型（LLM）生成准确、一致且符合预期格式的交易信号，这对于自动化系统的可靠运行至关重要。</w:t>
      </w:r>
    </w:p>
    <w:p>
      <w:pPr>
        <w:pStyle w:val="BodyText"/>
      </w:pPr>
      <w:r>
        <w:rPr>
          <w:rFonts w:hint="eastAsia"/>
        </w:rPr>
        <w:t xml:space="preserve">提示词工程的本质，是通过结构化的语言，清晰地向模型传达其“角色”、</w:t>
      </w:r>
      <w:r>
        <w:rPr>
          <w:rFonts w:hint="eastAsia"/>
        </w:rPr>
        <w:t xml:space="preserve">“任务”</w:t>
      </w:r>
      <w:r>
        <w:t xml:space="preserve">、</w:t>
      </w:r>
      <w:r>
        <w:rPr>
          <w:rFonts w:hint="eastAsia"/>
        </w:rPr>
        <w:t xml:space="preserve">“输入数据”</w:t>
      </w:r>
      <w:r>
        <w:rPr>
          <w:rFonts w:hint="eastAsia"/>
        </w:rPr>
        <w:t xml:space="preserve">以及“期望的输出格式”。在交易决策场景中，这意味着我们需要将复杂的交易逻辑转化为模型能够理解的自然语言指令。一个有效的提示词模板应遵循以下结构：</w:t>
      </w:r>
    </w:p>
    <w:p>
      <w:pPr>
        <w:numPr>
          <w:ilvl w:val="0"/>
          <w:numId w:val="1006"/>
        </w:numPr>
      </w:pPr>
      <w:r>
        <w:rPr>
          <w:rFonts w:hint="eastAsia"/>
          <w:b/>
          <w:bCs/>
        </w:rPr>
        <w:t xml:space="preserve">明确角色（Role</w:t>
      </w:r>
      <w:r>
        <w:rPr>
          <w:b/>
          <w:bCs/>
        </w:rPr>
        <w:t xml:space="preserve"> </w:t>
      </w:r>
      <w:r>
        <w:rPr>
          <w:rFonts w:hint="eastAsia"/>
          <w:b/>
          <w:bCs/>
        </w:rPr>
        <w:t xml:space="preserve">Definition）</w:t>
      </w:r>
      <w:r>
        <w:t xml:space="preserve"> </w:t>
      </w:r>
      <w:r>
        <w:rPr>
          <w:rFonts w:hint="eastAsia"/>
        </w:rPr>
        <w:t xml:space="preserve">：告知模型它将扮演的角色，例如“你是一个专业的加密货币交易策略分析师”。</w:t>
      </w:r>
    </w:p>
    <w:p>
      <w:pPr>
        <w:numPr>
          <w:ilvl w:val="0"/>
          <w:numId w:val="1006"/>
        </w:numPr>
      </w:pPr>
      <w:r>
        <w:rPr>
          <w:rFonts w:hint="eastAsia"/>
          <w:b/>
          <w:bCs/>
        </w:rPr>
        <w:t xml:space="preserve">设定任务（Task</w:t>
      </w:r>
      <w:r>
        <w:rPr>
          <w:b/>
          <w:bCs/>
        </w:rPr>
        <w:t xml:space="preserve"> </w:t>
      </w:r>
      <w:r>
        <w:rPr>
          <w:rFonts w:hint="eastAsia"/>
          <w:b/>
          <w:bCs/>
        </w:rPr>
        <w:t xml:space="preserve">Assignment）</w:t>
      </w:r>
      <w:r>
        <w:t xml:space="preserve"> </w:t>
      </w:r>
      <w:r>
        <w:rPr>
          <w:rFonts w:hint="eastAsia"/>
        </w:rPr>
        <w:t xml:space="preserve">：清晰地描述需要完成的核心任务，例如“基于以下市场数据和事件信号，分析当前市场趋势并生成交易决策建议”。</w:t>
      </w:r>
    </w:p>
    <w:p>
      <w:pPr>
        <w:numPr>
          <w:ilvl w:val="0"/>
          <w:numId w:val="1006"/>
        </w:numPr>
      </w:pPr>
      <w:r>
        <w:rPr>
          <w:rFonts w:hint="eastAsia"/>
          <w:b/>
          <w:bCs/>
        </w:rPr>
        <w:t xml:space="preserve">提供输入（Input</w:t>
      </w:r>
      <w:r>
        <w:rPr>
          <w:b/>
          <w:bCs/>
        </w:rPr>
        <w:t xml:space="preserve"> </w:t>
      </w:r>
      <w:r>
        <w:rPr>
          <w:rFonts w:hint="eastAsia"/>
          <w:b/>
          <w:bCs/>
        </w:rPr>
        <w:t xml:space="preserve">Data）</w:t>
      </w:r>
      <w:r>
        <w:t xml:space="preserve"> </w:t>
      </w:r>
      <w:r>
        <w:rPr>
          <w:rFonts w:hint="eastAsia"/>
        </w:rPr>
        <w:t xml:space="preserve">：将特征工程模块处理后的关键数据，如技术指标（RSI、MACD）、GMGN事件（</w:t>
      </w:r>
      <w:r>
        <w:rPr>
          <w:rFonts w:hint="eastAsia"/>
        </w:rPr>
        <w:t xml:space="preserve">“KOL大额买入”</w:t>
      </w:r>
      <w:r>
        <w:rPr>
          <w:rFonts w:hint="eastAsia"/>
        </w:rPr>
        <w:t xml:space="preserve">）、市场新闻摘要等，以结构化的方式呈现给模型。</w:t>
      </w:r>
    </w:p>
    <w:p>
      <w:pPr>
        <w:numPr>
          <w:ilvl w:val="0"/>
          <w:numId w:val="1006"/>
        </w:numPr>
      </w:pPr>
      <w:r>
        <w:rPr>
          <w:rFonts w:hint="eastAsia"/>
          <w:b/>
          <w:bCs/>
        </w:rPr>
        <w:t xml:space="preserve">指定输出格式（Output</w:t>
      </w:r>
      <w:r>
        <w:rPr>
          <w:b/>
          <w:bCs/>
        </w:rPr>
        <w:t xml:space="preserve"> </w:t>
      </w:r>
      <w:r>
        <w:rPr>
          <w:rFonts w:hint="eastAsia"/>
          <w:b/>
          <w:bCs/>
        </w:rPr>
        <w:t xml:space="preserve">Format）</w:t>
      </w:r>
      <w:r>
        <w:t xml:space="preserve"> </w:t>
      </w:r>
      <w:r>
        <w:rPr>
          <w:rFonts w:hint="eastAsia"/>
        </w:rPr>
        <w:t xml:space="preserve">：强制要求模型以程序可解析的格式输出结果，例如JSON。这是自动化交易的关键，因为系统需要将模型的文本回答直接转化为买卖订单。</w:t>
      </w:r>
    </w:p>
    <w:p>
      <w:pPr>
        <w:pStyle w:val="FirstParagraph"/>
      </w:pPr>
      <w:r>
        <w:rPr>
          <w:rFonts w:hint="eastAsia"/>
        </w:rPr>
        <w:t xml:space="preserve">以下是一个针对技术分析策略的提示词模板示例：</w:t>
      </w:r>
    </w:p>
    <w:p>
      <w:pPr>
        <w:pStyle w:val="SourceCode"/>
      </w:pPr>
      <w:r>
        <w:br/>
      </w:r>
      <w:r>
        <w:rPr>
          <w:rStyle w:val="VerbatimChar"/>
          <w:rFonts w:hint="eastAsia"/>
        </w:rPr>
        <w:t xml:space="preserve">你是一个专业的加密货币交易策略分析师，专注于识别短期市场趋势。</w:t>
      </w:r>
      <w:r>
        <w:br/>
      </w:r>
      <w:r>
        <w:br/>
      </w:r>
      <w:r>
        <w:rPr>
          <w:rStyle w:val="VerbatimChar"/>
          <w:rFonts w:hint="eastAsia"/>
        </w:rPr>
        <w:t xml:space="preserve">你的任务是：基于以下提供的市场数据和事件信号，进行综合分析，并生成一个包含明确交易决策、目标价格和风险评估的JSON格式响应。</w:t>
      </w:r>
      <w:r>
        <w:br/>
      </w:r>
      <w:r>
        <w:br/>
      </w:r>
      <w:r>
        <w:rPr>
          <w:rStyle w:val="VerbatimChar"/>
          <w:rFonts w:hint="eastAsia"/>
        </w:rPr>
        <w:t xml:space="preserve">输入数据：</w:t>
      </w:r>
      <w:r>
        <w:br/>
      </w:r>
      <w:r>
        <w:br/>
      </w:r>
      <w:r>
        <w:rPr>
          <w:rStyle w:val="VerbatimChar"/>
        </w:rPr>
        <w:t xml:space="preserve">- </w:t>
      </w:r>
      <w:r>
        <w:rPr>
          <w:rStyle w:val="VerbatimChar"/>
          <w:rFonts w:hint="eastAsia"/>
        </w:rPr>
        <w:t xml:space="preserve">资产：{asset_symbol}</w:t>
      </w:r>
      <w:r>
        <w:br/>
      </w:r>
      <w:r>
        <w:br/>
      </w:r>
      <w:r>
        <w:rPr>
          <w:rStyle w:val="VerbatimChar"/>
        </w:rPr>
        <w:t xml:space="preserve">- </w:t>
      </w:r>
      <w:r>
        <w:rPr>
          <w:rStyle w:val="VerbatimChar"/>
          <w:rFonts w:hint="eastAsia"/>
        </w:rPr>
        <w:t xml:space="preserve">当前价格：{current_price}</w:t>
      </w:r>
      <w:r>
        <w:br/>
      </w:r>
      <w:r>
        <w:br/>
      </w:r>
      <w:r>
        <w:rPr>
          <w:rStyle w:val="VerbatimChar"/>
        </w:rPr>
        <w:t xml:space="preserve">- </w:t>
      </w:r>
      <w:r>
        <w:rPr>
          <w:rStyle w:val="VerbatimChar"/>
          <w:rFonts w:hint="eastAsia"/>
        </w:rPr>
        <w:t xml:space="preserve">技术指标：</w:t>
      </w:r>
      <w:r>
        <w:br/>
      </w:r>
      <w:r>
        <w:br/>
      </w:r>
      <w:r>
        <w:rPr>
          <w:rStyle w:val="VerbatimChar"/>
        </w:rPr>
        <w:t xml:space="preserve">  - RSI(14): {rsi_value}</w:t>
      </w:r>
      <w:r>
        <w:br/>
      </w:r>
      <w:r>
        <w:br/>
      </w:r>
      <w:r>
        <w:rPr>
          <w:rStyle w:val="VerbatimChar"/>
        </w:rPr>
        <w:t xml:space="preserve">  - MACD: {macd_value}</w:t>
      </w:r>
      <w:r>
        <w:br/>
      </w:r>
      <w:r>
        <w:br/>
      </w:r>
      <w:r>
        <w:rPr>
          <w:rStyle w:val="VerbatimChar"/>
        </w:rPr>
        <w:t xml:space="preserve">  - </w:t>
      </w:r>
      <w:r>
        <w:rPr>
          <w:rStyle w:val="VerbatimChar"/>
          <w:rFonts w:hint="eastAsia"/>
        </w:rPr>
        <w:t xml:space="preserve">200日均线：{ma200_value}</w:t>
      </w:r>
      <w:r>
        <w:br/>
      </w:r>
      <w:r>
        <w:br/>
      </w:r>
      <w:r>
        <w:rPr>
          <w:rStyle w:val="VerbatimChar"/>
        </w:rPr>
        <w:t xml:space="preserve">- </w:t>
      </w:r>
      <w:r>
        <w:rPr>
          <w:rStyle w:val="VerbatimChar"/>
          <w:rFonts w:hint="eastAsia"/>
        </w:rPr>
        <w:t xml:space="preserve">GMGN事件信号：{gmgm_events}</w:t>
      </w:r>
      <w:r>
        <w:br/>
      </w:r>
      <w:r>
        <w:br/>
      </w:r>
      <w:r>
        <w:rPr>
          <w:rStyle w:val="VerbatimChar"/>
          <w:rFonts w:hint="eastAsia"/>
        </w:rPr>
        <w:t xml:space="preserve">输出要求：</w:t>
      </w:r>
      <w:r>
        <w:br/>
      </w:r>
      <w:r>
        <w:br/>
      </w:r>
      <w:r>
        <w:rPr>
          <w:rStyle w:val="VerbatimChar"/>
          <w:rFonts w:hint="eastAsia"/>
        </w:rPr>
        <w:t xml:space="preserve">请严格按照以下JSON格式输出你的分析结果：</w:t>
      </w:r>
      <w:r>
        <w:br/>
      </w:r>
      <w:r>
        <w:br/>
      </w:r>
      <w:r>
        <w:rPr>
          <w:rStyle w:val="VerbatimChar"/>
        </w:rPr>
        <w:t xml:space="preserve">{</w:t>
      </w:r>
      <w:r>
        <w:br/>
      </w:r>
      <w:r>
        <w:rPr>
          <w:rStyle w:val="VerbatimChar"/>
        </w:rPr>
        <w:t xml:space="preserve">  "decision": "hold" | "buy" | "sell",  // </w:t>
      </w:r>
      <w:r>
        <w:rPr>
          <w:rStyle w:val="VerbatimChar"/>
          <w:rFonts w:hint="eastAsia"/>
        </w:rPr>
        <w:t xml:space="preserve">核心交易决策</w:t>
      </w:r>
      <w:r>
        <w:br/>
      </w:r>
      <w:r>
        <w:br/>
      </w:r>
      <w:r>
        <w:rPr>
          <w:rStyle w:val="VerbatimChar"/>
        </w:rPr>
        <w:t xml:space="preserve">  "confidence": 0.0-1.0,              // </w:t>
      </w:r>
      <w:r>
        <w:rPr>
          <w:rStyle w:val="VerbatimChar"/>
          <w:rFonts w:hint="eastAsia"/>
        </w:rPr>
        <w:t xml:space="preserve">决策置信度</w:t>
      </w:r>
      <w:r>
        <w:br/>
      </w:r>
      <w:r>
        <w:br/>
      </w:r>
      <w:r>
        <w:rPr>
          <w:rStyle w:val="VerbatimChar"/>
        </w:rPr>
        <w:t xml:space="preserve">  "target_price": null | float,       // </w:t>
      </w:r>
      <w:r>
        <w:rPr>
          <w:rStyle w:val="VerbatimChar"/>
          <w:rFonts w:hint="eastAsia"/>
        </w:rPr>
        <w:t xml:space="preserve">目标止盈价格（若为hold则为null）</w:t>
      </w:r>
      <w:r>
        <w:br/>
      </w:r>
      <w:r>
        <w:br/>
      </w:r>
      <w:r>
        <w:rPr>
          <w:rStyle w:val="VerbatimChar"/>
        </w:rPr>
        <w:t xml:space="preserve">  "stop_loss_price": null | float,    // </w:t>
      </w:r>
      <w:r>
        <w:rPr>
          <w:rStyle w:val="VerbatimChar"/>
          <w:rFonts w:hint="eastAsia"/>
        </w:rPr>
        <w:t xml:space="preserve">止损价格（若为hold则为null）</w:t>
      </w:r>
      <w:r>
        <w:br/>
      </w:r>
      <w:r>
        <w:br/>
      </w:r>
      <w:r>
        <w:rPr>
          <w:rStyle w:val="VerbatimChar"/>
        </w:rPr>
        <w:t xml:space="preserve">  "analysis_summary": string          // </w:t>
      </w:r>
      <w:r>
        <w:rPr>
          <w:rStyle w:val="VerbatimChar"/>
          <w:rFonts w:hint="eastAsia"/>
        </w:rPr>
        <w:t xml:space="preserve">不超过200字的分析摘要</w:t>
      </w:r>
      <w:r>
        <w:br/>
      </w:r>
      <w:r>
        <w:br/>
      </w:r>
      <w:r>
        <w:rPr>
          <w:rStyle w:val="VerbatimChar"/>
        </w:rPr>
        <w:t xml:space="preserve">}</w:t>
      </w:r>
      <w:r>
        <w:br/>
      </w:r>
      <w:r>
        <w:br/>
      </w:r>
      <w:r>
        <w:rPr>
          <w:rStyle w:val="VerbatimChar"/>
          <w:rFonts w:hint="eastAsia"/>
        </w:rPr>
        <w:t xml:space="preserve">注意：</w:t>
      </w:r>
      <w:r>
        <w:br/>
      </w:r>
      <w:r>
        <w:br/>
      </w:r>
      <w:r>
        <w:rPr>
          <w:rStyle w:val="VerbatimChar"/>
        </w:rPr>
        <w:t xml:space="preserve">- </w:t>
      </w:r>
      <w:r>
        <w:rPr>
          <w:rStyle w:val="VerbatimChar"/>
          <w:rFonts w:hint="eastAsia"/>
        </w:rPr>
        <w:t xml:space="preserve">决策必须是</w:t>
      </w:r>
      <w:r>
        <w:rPr>
          <w:rStyle w:val="VerbatimChar"/>
        </w:rPr>
        <w:t xml:space="preserve"> "hold"、"buy" </w:t>
      </w:r>
      <w:r>
        <w:rPr>
          <w:rStyle w:val="VerbatimChar"/>
          <w:rFonts w:hint="eastAsia"/>
        </w:rPr>
        <w:t xml:space="preserve">或</w:t>
      </w:r>
      <w:r>
        <w:rPr>
          <w:rStyle w:val="VerbatimChar"/>
        </w:rPr>
        <w:t xml:space="preserve"> "sell" </w:t>
      </w:r>
      <w:r>
        <w:rPr>
          <w:rStyle w:val="VerbatimChar"/>
          <w:rFonts w:hint="eastAsia"/>
        </w:rPr>
        <w:t xml:space="preserve">中的一个，不接受任何模糊词汇。</w:t>
      </w:r>
      <w:r>
        <w:br/>
      </w:r>
      <w:r>
        <w:br/>
      </w:r>
      <w:r>
        <w:rPr>
          <w:rStyle w:val="VerbatimChar"/>
        </w:rPr>
        <w:t xml:space="preserve">- </w:t>
      </w:r>
      <w:r>
        <w:rPr>
          <w:rStyle w:val="VerbatimChar"/>
          <w:rFonts w:hint="eastAsia"/>
        </w:rPr>
        <w:t xml:space="preserve">置信度应反映你对该决策的确定性，数值越高表示越确定。</w:t>
      </w:r>
      <w:r>
        <w:br/>
      </w:r>
      <w:r>
        <w:br/>
      </w:r>
      <w:r>
        <w:rPr>
          <w:rStyle w:val="VerbatimChar"/>
        </w:rPr>
        <w:t xml:space="preserve">- </w:t>
      </w:r>
      <w:r>
        <w:rPr>
          <w:rStyle w:val="VerbatimChar"/>
          <w:rFonts w:hint="eastAsia"/>
        </w:rPr>
        <w:t xml:space="preserve">若决策为</w:t>
      </w:r>
      <w:r>
        <w:rPr>
          <w:rStyle w:val="VerbatimChar"/>
        </w:rPr>
        <w:t xml:space="preserve"> "buy" </w:t>
      </w:r>
      <w:r>
        <w:rPr>
          <w:rStyle w:val="VerbatimChar"/>
          <w:rFonts w:hint="eastAsia"/>
        </w:rPr>
        <w:t xml:space="preserve">或</w:t>
      </w:r>
      <w:r>
        <w:rPr>
          <w:rStyle w:val="VerbatimChar"/>
        </w:rPr>
        <w:t xml:space="preserve"> </w:t>
      </w:r>
      <w:r>
        <w:rPr>
          <w:rStyle w:val="VerbatimChar"/>
          <w:rFonts w:hint="eastAsia"/>
        </w:rPr>
        <w:t xml:space="preserve">"sell"，则必须提供具体的目标价格和止损价格。</w:t>
      </w:r>
      <w:r>
        <w:br/>
      </w:r>
      <w:r>
        <w:br/>
      </w:r>
      <w:r>
        <w:rPr>
          <w:rStyle w:val="VerbatimChar"/>
        </w:rPr>
        <w:t xml:space="preserve">- </w:t>
      </w:r>
      <w:r>
        <w:rPr>
          <w:rStyle w:val="VerbatimChar"/>
          <w:rFonts w:hint="eastAsia"/>
        </w:rPr>
        <w:t xml:space="preserve">分析摘要应简明扼要，突出你做出该决策的关键理由。</w:t>
      </w:r>
    </w:p>
    <w:p>
      <w:pPr>
        <w:pStyle w:val="FirstParagraph"/>
      </w:pPr>
      <w:r>
        <w:rPr>
          <w:rFonts w:hint="eastAsia"/>
        </w:rPr>
        <w:t xml:space="preserve">通过这种结构化的提示词，我们可以极大地降低模型输出的“幻觉”和不一致性，确保其生成的交易信号是机器可读且可靠的。这不仅是当前集成方案的基石，也为未来探索更高级的技术，如利用模型自身的“思考过程”（即中间的推理步骤）进行二次验证，或通过指令微调（Instruction</w:t>
      </w:r>
      <w:r>
        <w:t xml:space="preserve"> </w:t>
      </w:r>
      <w:r>
        <w:rPr>
          <w:rFonts w:hint="eastAsia"/>
        </w:rPr>
        <w:t xml:space="preserve">Tuning）进一步优化模型在特定交易任务上的表现，奠定了坚实的基础。</w:t>
      </w:r>
    </w:p>
    <w:bookmarkEnd w:id="31"/>
    <w:bookmarkEnd w:id="32"/>
    <w:bookmarkStart w:id="37" w:name="风险管理从cvar理论到实战策略"/>
    <w:p>
      <w:pPr>
        <w:pStyle w:val="2"/>
      </w:pPr>
      <w:r>
        <w:t xml:space="preserve">4. </w:t>
      </w:r>
      <w:r>
        <w:rPr>
          <w:rFonts w:hint="eastAsia"/>
        </w:rPr>
        <w:t xml:space="preserve">风险管理：从CVaR理论到实战策略</w:t>
      </w:r>
    </w:p>
    <w:p>
      <w:pPr>
        <w:pStyle w:val="FirstParagraph"/>
      </w:pPr>
      <w:r>
        <w:rPr>
          <w:rFonts w:hint="eastAsia"/>
        </w:rPr>
        <w:t xml:space="preserve">在第三章中，我们详细论证了如何利用DeepSeek</w:t>
      </w:r>
      <w:r>
        <w:t xml:space="preserve"> </w:t>
      </w:r>
      <w:r>
        <w:rPr>
          <w:rFonts w:hint="eastAsia"/>
        </w:rPr>
        <w:t xml:space="preserve">API构建一个强大的AI决策引擎，使其成为系统的“智慧大脑”。然而，任何智能决策系统若要在金融市场中长期生存并实现盈利，都必须配备一个同样坚固的“安全气囊”——风险管理模块。该模块作为系统的“刹车”与“护栏”，其重要性甚至超越了AI决策本身。它不仅是防止单次交易失误演变为灾难性损失的关键，更是保障系统在极端市场条件下能够存活下来，以待来日东山再起的核心机制。本章节将深入探讨自动化交易系统中至关重要的风险管理模块，我们将首先介绍基于CVaR（条件风险价值）理论的先进风险控制框架，随后将这一理论基石转化为具体的、可编程的实战策略，包括动态止损止盈、仓位管理以及全局熔断机制，旨在为系统构建一个多层次、智能化的风险防御体系。</w:t>
      </w:r>
    </w:p>
    <w:bookmarkStart w:id="33" w:name="理论基石cvar条件风险价值在交易中的应用"/>
    <w:p>
      <w:pPr>
        <w:pStyle w:val="3"/>
      </w:pPr>
      <w:r>
        <w:t xml:space="preserve">4.1 </w:t>
      </w:r>
      <w:r>
        <w:rPr>
          <w:rFonts w:hint="eastAsia"/>
        </w:rPr>
        <w:t xml:space="preserve">理论基石：CVaR（条件风险价值）在交易中的应用</w:t>
      </w:r>
    </w:p>
    <w:p>
      <w:pPr>
        <w:pStyle w:val="FirstParagraph"/>
      </w:pPr>
      <w:r>
        <w:rPr>
          <w:rFonts w:hint="eastAsia"/>
        </w:rPr>
        <w:t xml:space="preserve">传统的风险管理方法，如基于标准差或方差的风险度量，其核心逻辑在于将所有价格波动视为对称的风险。然而，这种方法在金融市场，尤其是加密货币市场中，存在显著的局限性。加密货币市场以其高波动性和频繁的极端行情著称，传统的方差模型往往会低估那些发生概率极低但一旦发生便会造成巨大影响的“尾部风险”。</w:t>
      </w:r>
    </w:p>
    <w:p>
      <w:pPr>
        <w:pStyle w:val="BodyText"/>
      </w:pPr>
      <w:r>
        <w:rPr>
          <w:rFonts w:hint="eastAsia"/>
        </w:rPr>
        <w:t xml:space="preserve">为了更精准地捕捉和管理这种极端风险，本项目将采用CVaR（Conditional</w:t>
      </w:r>
      <w:r>
        <w:t xml:space="preserve"> Value at </w:t>
      </w:r>
      <w:r>
        <w:rPr>
          <w:rFonts w:hint="eastAsia"/>
        </w:rPr>
        <w:t xml:space="preserve">Risk，条件风险价值）作为核心的风险度量理论。CVaR，又称期望损失（Expected</w:t>
      </w:r>
      <w:r>
        <w:t xml:space="preserve"> </w:t>
      </w:r>
      <w:r>
        <w:rPr>
          <w:rFonts w:hint="eastAsia"/>
        </w:rPr>
        <w:t xml:space="preserve">Shortfall），是在风险价值（VaR）的基础上发展而来的。VaR仅能告诉我们在一定置信水平下，最大的潜在损失是多少，例如“在95%的置信水平下，我们的最大日损失不超过10%”。但VaR的缺陷在于，它完全忽略了超过该置信水平的、更严重的损失情况。而CVaR则弥补了这一短板，它度量的是在VaR的条件下，即当损失已经超过VaR阈值时，预期的平均损失是多少。</w:t>
      </w:r>
    </w:p>
    <w:p>
      <w:pPr>
        <w:pStyle w:val="BodyText"/>
      </w:pPr>
      <w:r>
        <w:rPr>
          <w:rFonts w:hint="eastAsia"/>
        </w:rPr>
        <w:t xml:space="preserve">用一个更直观的例子来解释，CVaR回答的问题是：</w:t>
      </w:r>
      <w:r>
        <w:rPr>
          <w:rFonts w:hint="eastAsia"/>
        </w:rPr>
        <w:t xml:space="preserve">“在最坏的5%的情况下，我们平均会损失多少”</w:t>
      </w:r>
      <w:r>
        <w:rPr>
          <w:rFonts w:hint="eastAsia"/>
        </w:rPr>
        <w:t xml:space="preserve">。这一特性使其成为衡量和控制“尾部风险”的理想工具。对于自动化交易系统而言，这意味着我们的风险管理策略不再仅仅是被动地设定一个固定的亏损上限，而是主动地去评估和控制一旦进入极端亏损情境后，损失的平均水平。这种前瞻性的风险度量方法，能够引导我们的策略在市场平静时适度进取，而在市场剧烈动荡时主动收缩，从而在保护本金安全的同时，最大化长期生存能力。</w:t>
      </w:r>
    </w:p>
    <w:bookmarkEnd w:id="33"/>
    <w:bookmarkStart w:id="34" w:name="实战策略一动态止损与止盈"/>
    <w:p>
      <w:pPr>
        <w:pStyle w:val="3"/>
      </w:pPr>
      <w:r>
        <w:t xml:space="preserve">4.2 </w:t>
      </w:r>
      <w:r>
        <w:rPr>
          <w:rFonts w:hint="eastAsia"/>
        </w:rPr>
        <w:t xml:space="preserve">实战策略一：动态止损与止盈</w:t>
      </w:r>
    </w:p>
    <w:p>
      <w:pPr>
        <w:pStyle w:val="FirstParagraph"/>
      </w:pPr>
      <w:r>
        <w:rPr>
          <w:rFonts w:hint="eastAsia"/>
        </w:rPr>
        <w:t xml:space="preserve">基于CVaR理论的风险管理，其首要应用便是实现动态的止损与止盈机制。与传统的固定百分比（如5%）或固定点数的止损方式不同，动态策略能够根据市场实时变化调整风险敞口，体现了风险管理的智能化与适应性。</w:t>
      </w:r>
    </w:p>
    <w:p>
      <w:pPr>
        <w:pStyle w:val="BodyText"/>
      </w:pPr>
      <w:r>
        <w:rPr>
          <w:rFonts w:hint="eastAsia"/>
        </w:rPr>
        <w:t xml:space="preserve">动态止损的核心逻辑在于，当市场波动性增加时，我们需要放宽止损的阈值，以避免策略被正常的市场波动“震出”；反之，当市场趋于平静时，则应收紧止损，以保护已有的利润。这种动态调整可以通过多种技术指标来实现，其中</w:t>
      </w:r>
      <w:r>
        <w:t xml:space="preserve"> </w:t>
      </w:r>
      <w:r>
        <w:rPr>
          <w:rFonts w:hint="eastAsia"/>
          <w:b/>
          <w:bCs/>
        </w:rPr>
        <w:t xml:space="preserve">平均真实波幅（ATR）</w:t>
      </w:r>
      <w:r>
        <w:t xml:space="preserve"> </w:t>
      </w:r>
      <w:r>
        <w:rPr>
          <w:rFonts w:hint="eastAsia"/>
        </w:rPr>
        <w:t xml:space="preserve">是一个被广泛应用的选择。ATR能够量化一段时间内资产价格的波动程度，我们可以将其作为一个动态的“距离”单位，来计算止损和止盈的位置。</w:t>
      </w:r>
    </w:p>
    <w:p>
      <w:pPr>
        <w:pStyle w:val="BodyText"/>
      </w:pPr>
      <w:r>
        <w:rPr>
          <w:rFonts w:hint="eastAsia"/>
        </w:rPr>
        <w:t xml:space="preserve">具体的实现思路可以是：</w:t>
      </w:r>
    </w:p>
    <w:p>
      <w:pPr>
        <w:numPr>
          <w:ilvl w:val="0"/>
          <w:numId w:val="1007"/>
        </w:numPr>
      </w:pPr>
      <w:r>
        <w:rPr>
          <w:rFonts w:hint="eastAsia"/>
          <w:b/>
          <w:bCs/>
        </w:rPr>
        <w:t xml:space="preserve">计算实时波动性</w:t>
      </w:r>
      <w:r>
        <w:t xml:space="preserve"> </w:t>
      </w:r>
      <w:r>
        <w:rPr>
          <w:rFonts w:hint="eastAsia"/>
        </w:rPr>
        <w:t xml:space="preserve">：利用数据采集模块获取的K线数据，实时计算资产的ATR值。</w:t>
      </w:r>
    </w:p>
    <w:p>
      <w:pPr>
        <w:numPr>
          <w:ilvl w:val="0"/>
          <w:numId w:val="1007"/>
        </w:numPr>
      </w:pPr>
      <w:r>
        <w:rPr>
          <w:rFonts w:hint="eastAsia"/>
          <w:b/>
          <w:bCs/>
        </w:rPr>
        <w:t xml:space="preserve">设定动态阈值</w:t>
      </w:r>
      <w:r>
        <w:t xml:space="preserve"> </w:t>
      </w:r>
      <w:r>
        <w:rPr>
          <w:rFonts w:hint="eastAsia"/>
        </w:rPr>
        <w:t xml:space="preserve">：根据ATR值设定止损和止盈的动态阈值。例如，在市场高波动时期，止损距离可以设置为当前价格的2倍ATR；在低波动时期，则设置为1倍ATR。</w:t>
      </w:r>
    </w:p>
    <w:p>
      <w:pPr>
        <w:numPr>
          <w:ilvl w:val="0"/>
          <w:numId w:val="1007"/>
        </w:numPr>
      </w:pPr>
      <w:r>
        <w:rPr>
          <w:rFonts w:hint="eastAsia"/>
          <w:b/>
          <w:bCs/>
        </w:rPr>
        <w:t xml:space="preserve">动态调整订单</w:t>
      </w:r>
      <w:r>
        <w:t xml:space="preserve"> </w:t>
      </w:r>
      <w:r>
        <w:rPr>
          <w:rFonts w:hint="eastAsia"/>
        </w:rPr>
        <w:t xml:space="preserve">：风险管理模块在接收到AI决策模块的交易信号后，根据当前的ATR值计算出具体的止损和止盈价格，并将这些价格作为交易指令的一部分，发送给订单执行模块。</w:t>
      </w:r>
    </w:p>
    <w:p>
      <w:pPr>
        <w:pStyle w:val="FirstParagraph"/>
      </w:pPr>
      <w:r>
        <w:rPr>
          <w:rFonts w:hint="eastAsia"/>
        </w:rPr>
        <w:t xml:space="preserve">这种基于市场波动性的动态止损策略，本质上是CVaR思想的一种简化应用。它通过放宽阈值来容纳更大的潜在损失，从而降低了在极端行情下触发止损的概率，这相当于在提高VaR的置信水平（例如从95%提高到99%），从而降低了CVaR值。反之，收紧阈值则是在市场风险较低时，追求更高的风险回报比。由此可见，动态止损止盈机制，是将CVaR理论中对“尾部风险”的敬畏，转化为系统在不同市场环境下的自适应行为，是保护单次交易安全的第一道防线。</w:t>
      </w:r>
    </w:p>
    <w:bookmarkEnd w:id="34"/>
    <w:bookmarkStart w:id="35" w:name="实战策略二仓位管理与头寸限制"/>
    <w:p>
      <w:pPr>
        <w:pStyle w:val="3"/>
      </w:pPr>
      <w:r>
        <w:t xml:space="preserve">4.3 </w:t>
      </w:r>
      <w:r>
        <w:rPr>
          <w:rFonts w:hint="eastAsia"/>
        </w:rPr>
        <w:t xml:space="preserve">实战策略二：仓位管理与头寸限制</w:t>
      </w:r>
    </w:p>
    <w:p>
      <w:pPr>
        <w:pStyle w:val="FirstParagraph"/>
      </w:pPr>
      <w:r>
        <w:rPr>
          <w:rFonts w:hint="eastAsia"/>
        </w:rPr>
        <w:t xml:space="preserve">如果说动态止损是控制单次交易的“宽度”，那么仓位管理则是控制单次交易的“深度”——即我们愿意为每一次交易投入多少本金。仓位管理是资金管理的核心，直接决定了系统在经历连续亏损后，是否还有足够的弹药进行反击，或是会被直接“打残”。</w:t>
      </w:r>
    </w:p>
    <w:p>
      <w:pPr>
        <w:pStyle w:val="BodyText"/>
      </w:pPr>
      <w:r>
        <w:rPr>
          <w:rFonts w:hint="eastAsia"/>
        </w:rPr>
        <w:t xml:space="preserve">本项目将采用</w:t>
      </w:r>
      <w:r>
        <w:t xml:space="preserve"> </w:t>
      </w:r>
      <w:r>
        <w:rPr>
          <w:rFonts w:hint="eastAsia"/>
          <w:b/>
          <w:bCs/>
        </w:rPr>
        <w:t xml:space="preserve">基于凯利公式（Kelly</w:t>
      </w:r>
      <w:r>
        <w:rPr>
          <w:b/>
          <w:bCs/>
        </w:rPr>
        <w:t xml:space="preserve"> </w:t>
      </w:r>
      <w:r>
        <w:rPr>
          <w:rFonts w:hint="eastAsia"/>
          <w:b/>
          <w:bCs/>
        </w:rPr>
        <w:t xml:space="preserve">Criterion）</w:t>
      </w:r>
      <w:r>
        <w:t xml:space="preserve"> </w:t>
      </w:r>
      <w:r>
        <w:rPr>
          <w:rFonts w:hint="eastAsia"/>
        </w:rPr>
        <w:t xml:space="preserve">的仓位管理策略。凯利公式是一个著名的概率论公式，用于计算在一系列独立的赌博中，应投注多少比例的资金，以最大化长期的财富增长。在交易中，它同样适用，能够帮助我们确定最优的头寸规模。凯利公式的基本形式为：</w:t>
      </w:r>
    </w:p>
    <w:p>
      <w:pPr>
        <w:pStyle w:val="BodyText"/>
      </w:pPr>
      <w:r>
        <w:rPr>
          <w:rStyle w:val="VerbatimChar"/>
        </w:rPr>
        <w:t xml:space="preserve">f* = (bp - q) / b</w:t>
      </w:r>
    </w:p>
    <w:p>
      <w:pPr>
        <w:pStyle w:val="BodyText"/>
      </w:pPr>
      <w:r>
        <w:rPr>
          <w:rFonts w:hint="eastAsia"/>
        </w:rPr>
        <w:t xml:space="preserve">其中：</w:t>
      </w:r>
    </w:p>
    <w:p>
      <w:pPr>
        <w:numPr>
          <w:ilvl w:val="0"/>
          <w:numId w:val="1008"/>
        </w:numPr>
      </w:pPr>
      <w:r>
        <w:rPr>
          <w:rStyle w:val="VerbatimChar"/>
        </w:rPr>
        <w:t xml:space="preserve">f*</w:t>
      </w:r>
      <w:r>
        <w:t xml:space="preserve"> </w:t>
      </w:r>
      <w:r>
        <w:rPr>
          <w:rFonts w:hint="eastAsia"/>
        </w:rPr>
        <w:t xml:space="preserve">是应投注的最优资金比例</w:t>
      </w:r>
    </w:p>
    <w:p>
      <w:pPr>
        <w:numPr>
          <w:ilvl w:val="0"/>
          <w:numId w:val="1008"/>
        </w:numPr>
      </w:pPr>
      <w:r>
        <w:rPr>
          <w:rStyle w:val="VerbatimChar"/>
        </w:rPr>
        <w:t xml:space="preserve">b</w:t>
      </w:r>
      <w:r>
        <w:t xml:space="preserve"> </w:t>
      </w:r>
      <w:r>
        <w:rPr>
          <w:rFonts w:hint="eastAsia"/>
        </w:rPr>
        <w:t xml:space="preserve">是盈亏比（即赢时的净收益与输时的净损失之比）</w:t>
      </w:r>
    </w:p>
    <w:p>
      <w:pPr>
        <w:numPr>
          <w:ilvl w:val="0"/>
          <w:numId w:val="1008"/>
        </w:numPr>
      </w:pPr>
      <w:r>
        <w:rPr>
          <w:rStyle w:val="VerbatimChar"/>
        </w:rPr>
        <w:t xml:space="preserve">p</w:t>
      </w:r>
      <w:r>
        <w:t xml:space="preserve"> </w:t>
      </w:r>
      <w:r>
        <w:rPr>
          <w:rFonts w:hint="eastAsia"/>
        </w:rPr>
        <w:t xml:space="preserve">是获胜的概率</w:t>
      </w:r>
    </w:p>
    <w:p>
      <w:pPr>
        <w:numPr>
          <w:ilvl w:val="0"/>
          <w:numId w:val="1008"/>
        </w:numPr>
      </w:pPr>
      <w:r>
        <w:rPr>
          <w:rStyle w:val="VerbatimChar"/>
        </w:rPr>
        <w:t xml:space="preserve">q</w:t>
      </w:r>
      <w:r>
        <w:t xml:space="preserve"> </w:t>
      </w:r>
      <w:r>
        <w:rPr>
          <w:rFonts w:hint="eastAsia"/>
        </w:rPr>
        <w:t xml:space="preserve">是失败的概率（</w:t>
      </w:r>
      <w:r>
        <w:rPr>
          <w:rStyle w:val="VerbatimChar"/>
        </w:rPr>
        <w:t xml:space="preserve">q = 1 - p</w:t>
      </w:r>
      <w:r>
        <w:rPr>
          <w:rFonts w:hint="eastAsia"/>
        </w:rPr>
        <w:t xml:space="preserve">）</w:t>
      </w:r>
    </w:p>
    <w:p>
      <w:pPr>
        <w:pStyle w:val="FirstParagraph"/>
      </w:pPr>
      <w:r>
        <w:rPr>
          <w:rFonts w:hint="eastAsia"/>
        </w:rPr>
        <w:t xml:space="preserve">在自动化交易系统中，我们可以将AI决策模块输出的交易信号置信度（confidence）近似视为</w:t>
      </w:r>
      <w:r>
        <w:rPr>
          <w:rStyle w:val="VerbatimChar"/>
        </w:rPr>
        <w:t xml:space="preserve">p</w:t>
      </w:r>
      <w:r>
        <w:rPr>
          <w:rFonts w:hint="eastAsia"/>
        </w:rPr>
        <w:t xml:space="preserve">（获胜概率）。然后，结合动态止损止盈的阈值，计算出潜在的盈亏比</w:t>
      </w:r>
      <w:r>
        <w:rPr>
          <w:rStyle w:val="VerbatimChar"/>
        </w:rPr>
        <w:t xml:space="preserve">b</w:t>
      </w:r>
      <w:r>
        <w:rPr>
          <w:rFonts w:hint="eastAsia"/>
        </w:rPr>
        <w:t xml:space="preserve">。例如，如果我们的止盈目标是当前价格的1.5倍ATR，而止损阈值是0.5倍ATR，那么盈亏比</w:t>
      </w:r>
      <w:r>
        <w:rPr>
          <w:rStyle w:val="VerbatimChar"/>
        </w:rPr>
        <w:t xml:space="preserve">b</w:t>
      </w:r>
      <w:r>
        <w:rPr>
          <w:rFonts w:hint="eastAsia"/>
        </w:rPr>
        <w:t xml:space="preserve">就是1.5</w:t>
      </w:r>
      <w:r>
        <w:t xml:space="preserve"> / 0.5 = 3。</w:t>
      </w:r>
    </w:p>
    <w:p>
      <w:pPr>
        <w:pStyle w:val="BodyText"/>
      </w:pPr>
      <w:r>
        <w:rPr>
          <w:rFonts w:hint="eastAsia"/>
        </w:rPr>
        <w:t xml:space="preserve">通过这种方式，风险管理模块可以为每一个AI生成的交易信号，计算出一个最优的仓位比例。这种策略的优势在于，它将AI的“智慧”（置信度）与风险管理的“审慎”（CVaR）紧密结合，确保了在AI对市场判断越有把握时，我们投入的资金越多；反之，当AI的判断存在较大不确定性时，我们则采取更为保守的头寸。这不仅是对单次交易风险的控制，更是对整体账户风险暴露的动态优化，是实现长期稳定盈利的关键。</w:t>
      </w:r>
    </w:p>
    <w:bookmarkEnd w:id="35"/>
    <w:bookmarkStart w:id="36" w:name="实战策略三全局熔断与强制休眠机制"/>
    <w:p>
      <w:pPr>
        <w:pStyle w:val="3"/>
      </w:pPr>
      <w:r>
        <w:t xml:space="preserve">4.4 </w:t>
      </w:r>
      <w:r>
        <w:rPr>
          <w:rFonts w:hint="eastAsia"/>
        </w:rPr>
        <w:t xml:space="preserve">实战策略三：全局熔断与强制休眠机制</w:t>
      </w:r>
    </w:p>
    <w:p>
      <w:pPr>
        <w:pStyle w:val="FirstParagraph"/>
      </w:pPr>
      <w:r>
        <w:rPr>
          <w:rFonts w:hint="eastAsia"/>
        </w:rPr>
        <w:t xml:space="preserve">在风险管理体系中，必须存在一个“最后防线”——全局熔断与强制休眠机制。这是一种被动的、极端的防御策略，旨在当系统遭遇系统性风险或连续的决策失误时，能够自动暂停所有交易活动，防止本金被完全侵蚀。</w:t>
      </w:r>
    </w:p>
    <w:p>
      <w:pPr>
        <w:pStyle w:val="BodyText"/>
      </w:pPr>
      <w:r>
        <w:rPr>
          <w:rFonts w:hint="eastAsia"/>
        </w:rPr>
        <w:t xml:space="preserve">该机制的触发条件应基于账户的整体表现，而非单一交易的盈亏。典型的触发条件包括：</w:t>
      </w:r>
    </w:p>
    <w:p>
      <w:pPr>
        <w:numPr>
          <w:ilvl w:val="0"/>
          <w:numId w:val="1009"/>
        </w:numPr>
      </w:pPr>
      <w:r>
        <w:rPr>
          <w:rFonts w:hint="eastAsia"/>
          <w:b/>
          <w:bCs/>
        </w:rPr>
        <w:t xml:space="preserve">连续亏损次数</w:t>
      </w:r>
      <w:r>
        <w:t xml:space="preserve"> </w:t>
      </w:r>
      <w:r>
        <w:rPr>
          <w:rFonts w:hint="eastAsia"/>
        </w:rPr>
        <w:t xml:space="preserve">：例如，当系统在过去N笔交易中全部亏损时，触发熔断。</w:t>
      </w:r>
    </w:p>
    <w:p>
      <w:pPr>
        <w:numPr>
          <w:ilvl w:val="0"/>
          <w:numId w:val="1009"/>
        </w:numPr>
      </w:pPr>
      <w:r>
        <w:rPr>
          <w:rFonts w:hint="eastAsia"/>
          <w:b/>
          <w:bCs/>
        </w:rPr>
        <w:t xml:space="preserve">总资产回撤比例</w:t>
      </w:r>
      <w:r>
        <w:t xml:space="preserve"> </w:t>
      </w:r>
      <w:r>
        <w:rPr>
          <w:rFonts w:hint="eastAsia"/>
        </w:rPr>
        <w:t xml:space="preserve">：当账户总资产在一段时间内（如24小时或一周）回撤超过预设的百分比阈值（如10%）时，触发熔断。</w:t>
      </w:r>
    </w:p>
    <w:p>
      <w:pPr>
        <w:pStyle w:val="FirstParagraph"/>
      </w:pPr>
      <w:r>
        <w:rPr>
          <w:rFonts w:hint="eastAsia"/>
        </w:rPr>
        <w:t xml:space="preserve">一旦触发熔断，系统将进入强制休眠状态，停止接收和执行任何来自AI决策模块的交易信号。这是一种“一刀切”的保护措施，其目的是让系统在冷静期内重新评估市场环境、检查模型性能或调整参数，而不是在错误的方向上越走越远。</w:t>
      </w:r>
    </w:p>
    <w:p>
      <w:pPr>
        <w:pStyle w:val="BodyText"/>
      </w:pPr>
      <w:r>
        <w:rPr>
          <w:rFonts w:hint="eastAsia"/>
        </w:rPr>
        <w:t xml:space="preserve">为了更清晰地展示不同交易策略下风险管理参数的差异，下表汇总了几种常见策略的典型风险管理配置：</w:t>
      </w:r>
    </w:p>
    <w:tbl>
      <w:tblPr>
        <w:tblStyle w:val="TableCustom"/>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策略类型</w:t>
            </w:r>
          </w:p>
        </w:tc>
        <w:tc>
          <w:tcPr/>
          <w:p>
            <w:pPr>
              <w:pStyle w:val="Compact"/>
              <w:jc w:val="left"/>
            </w:pPr>
            <w:r>
              <w:rPr>
                <w:rFonts w:hint="eastAsia"/>
              </w:rPr>
              <w:t xml:space="preserve">典型止损阈值</w:t>
            </w:r>
            <w:r>
              <w:t xml:space="preserve"> (Stop Loss Threshold)</w:t>
            </w:r>
          </w:p>
        </w:tc>
        <w:tc>
          <w:tcPr/>
          <w:p>
            <w:pPr>
              <w:pStyle w:val="Compact"/>
              <w:jc w:val="left"/>
            </w:pPr>
            <w:r>
              <w:rPr>
                <w:rFonts w:hint="eastAsia"/>
              </w:rPr>
              <w:t xml:space="preserve">典型止盈阈值</w:t>
            </w:r>
            <w:r>
              <w:t xml:space="preserve"> (Take Profit Threshold)</w:t>
            </w:r>
          </w:p>
        </w:tc>
        <w:tc>
          <w:tcPr/>
          <w:p>
            <w:pPr>
              <w:pStyle w:val="Compact"/>
              <w:jc w:val="left"/>
            </w:pPr>
            <w:r>
              <w:rPr>
                <w:rFonts w:hint="eastAsia"/>
              </w:rPr>
              <w:t xml:space="preserve">典型熔断机制</w:t>
            </w:r>
            <w:r>
              <w:t xml:space="preserve"> (Circuit Breaker)</w:t>
            </w:r>
          </w:p>
        </w:tc>
      </w:tr>
      <w:tr>
        <w:tc>
          <w:tcPr/>
          <w:p>
            <w:pPr>
              <w:pStyle w:val="Compact"/>
              <w:jc w:val="left"/>
            </w:pPr>
            <w:r>
              <w:rPr>
                <w:rFonts w:hint="eastAsia"/>
                <w:b/>
                <w:bCs/>
              </w:rPr>
              <w:t xml:space="preserve">高频交易</w:t>
            </w:r>
            <w:r>
              <w:rPr>
                <w:b/>
                <w:bCs/>
              </w:rPr>
              <w:t xml:space="preserve"> (High-Frequency Trading)</w:t>
            </w:r>
          </w:p>
        </w:tc>
        <w:tc>
          <w:tcPr/>
          <w:p>
            <w:pPr>
              <w:pStyle w:val="Compact"/>
              <w:jc w:val="left"/>
            </w:pPr>
            <w:r>
              <w:rPr>
                <w:rFonts w:hint="eastAsia"/>
              </w:rPr>
              <w:t xml:space="preserve">基于市场实时波动动态调整，通常非常小（如0.1%）</w:t>
            </w:r>
          </w:p>
        </w:tc>
        <w:tc>
          <w:tcPr/>
          <w:p>
            <w:pPr>
              <w:pStyle w:val="Compact"/>
              <w:jc w:val="left"/>
            </w:pPr>
            <w:r>
              <w:rPr>
                <w:rFonts w:hint="eastAsia"/>
              </w:rPr>
              <w:t xml:space="preserve">基于市场实时波动动态调整，通常非常小（如0.1%）</w:t>
            </w:r>
          </w:p>
        </w:tc>
        <w:tc>
          <w:tcPr/>
          <w:p>
            <w:pPr>
              <w:pStyle w:val="Compact"/>
              <w:jc w:val="left"/>
            </w:pPr>
            <w:r>
              <w:rPr>
                <w:rFonts w:hint="eastAsia"/>
              </w:rPr>
              <w:t xml:space="preserve">基于连续亏损次数或总资产回撤比例，触发后暂停交易</w:t>
            </w:r>
          </w:p>
        </w:tc>
      </w:tr>
      <w:tr>
        <w:tc>
          <w:tcPr/>
          <w:p>
            <w:pPr>
              <w:pStyle w:val="Compact"/>
              <w:jc w:val="left"/>
            </w:pPr>
            <w:r>
              <w:rPr>
                <w:rFonts w:hint="eastAsia"/>
                <w:b/>
                <w:bCs/>
              </w:rPr>
              <w:t xml:space="preserve">套利策略</w:t>
            </w:r>
            <w:r>
              <w:rPr>
                <w:b/>
                <w:bCs/>
              </w:rPr>
              <w:t xml:space="preserve"> (Arbitrage)</w:t>
            </w:r>
          </w:p>
        </w:tc>
        <w:tc>
          <w:tcPr/>
          <w:p>
            <w:pPr>
              <w:pStyle w:val="Compact"/>
              <w:jc w:val="left"/>
            </w:pPr>
            <w:r>
              <w:rPr>
                <w:rFonts w:hint="eastAsia"/>
              </w:rPr>
              <w:t xml:space="preserve">基于市场实时波动动态调整，通常非常小（如0.1%）</w:t>
            </w:r>
          </w:p>
        </w:tc>
        <w:tc>
          <w:tcPr/>
          <w:p>
            <w:pPr>
              <w:pStyle w:val="Compact"/>
              <w:jc w:val="left"/>
            </w:pPr>
            <w:r>
              <w:rPr>
                <w:rFonts w:hint="eastAsia"/>
              </w:rPr>
              <w:t xml:space="preserve">基于市场实时波动动态调整，通常非常小（如0.1%）</w:t>
            </w:r>
          </w:p>
        </w:tc>
        <w:tc>
          <w:tcPr/>
          <w:p>
            <w:pPr>
              <w:pStyle w:val="Compact"/>
              <w:jc w:val="left"/>
            </w:pPr>
            <w:r>
              <w:rPr>
                <w:rFonts w:hint="eastAsia"/>
              </w:rPr>
              <w:t xml:space="preserve">基于连续亏损次数或总资产回撤比例，触发后暂停交易</w:t>
            </w:r>
          </w:p>
        </w:tc>
      </w:tr>
      <w:tr>
        <w:tc>
          <w:tcPr/>
          <w:p>
            <w:pPr>
              <w:pStyle w:val="Compact"/>
              <w:jc w:val="left"/>
            </w:pPr>
            <w:r>
              <w:rPr>
                <w:rFonts w:hint="eastAsia"/>
                <w:b/>
                <w:bCs/>
              </w:rPr>
              <w:t xml:space="preserve">趋势跟踪</w:t>
            </w:r>
            <w:r>
              <w:rPr>
                <w:b/>
                <w:bCs/>
              </w:rPr>
              <w:t xml:space="preserve"> (Trend Following)</w:t>
            </w:r>
          </w:p>
        </w:tc>
        <w:tc>
          <w:tcPr/>
          <w:p>
            <w:pPr>
              <w:pStyle w:val="Compact"/>
              <w:jc w:val="left"/>
            </w:pPr>
            <w:r>
              <w:rPr>
                <w:rFonts w:hint="eastAsia"/>
              </w:rPr>
              <w:t xml:space="preserve">固定比例（如1-5%）或基于技术指标（如ATR）动态计算</w:t>
            </w:r>
          </w:p>
        </w:tc>
        <w:tc>
          <w:tcPr/>
          <w:p>
            <w:pPr>
              <w:pStyle w:val="Compact"/>
              <w:jc w:val="left"/>
            </w:pPr>
            <w:r>
              <w:rPr>
                <w:rFonts w:hint="eastAsia"/>
              </w:rPr>
              <w:t xml:space="preserve">固定比例（如10-20%）或基于技术指标（如移动平均线）动态计算</w:t>
            </w:r>
          </w:p>
        </w:tc>
        <w:tc>
          <w:tcPr/>
          <w:p>
            <w:pPr>
              <w:pStyle w:val="Compact"/>
              <w:jc w:val="left"/>
            </w:pPr>
            <w:r>
              <w:rPr>
                <w:rFonts w:hint="eastAsia"/>
              </w:rPr>
              <w:t xml:space="preserve">基于连续亏损次数或总资产回撤比例，触发后暂停交易</w:t>
            </w:r>
          </w:p>
        </w:tc>
      </w:tr>
    </w:tbl>
    <w:p>
      <w:pPr>
        <w:pStyle w:val="BodyText"/>
      </w:pPr>
      <w:r>
        <w:rPr>
          <w:rFonts w:hint="eastAsia"/>
          <w:i/>
          <w:iCs/>
        </w:rPr>
        <w:t xml:space="preserve">数据来源：根据公开信息整理</w:t>
      </w:r>
    </w:p>
    <w:p>
      <w:pPr>
        <w:pStyle w:val="BodyText"/>
      </w:pPr>
      <w:r>
        <w:rPr>
          <w:rFonts w:hint="eastAsia"/>
        </w:rPr>
        <w:t xml:space="preserve">由此可见，无论采用何种交易策略，一个可靠的熔断机制都是不可或缺的。在本项目中，我们将根据其“业余兴趣探索”的定位和对本金安全的高度重视，设定一个相对保守的熔断阈值。例如，当账户总资产回撤超过5%时，系统将自动触发全局熔断，进入休眠状态。这一机制将由监控与性能模块持续监测账户数据，并在满足条件时向风险管理模块发送指令来激活。它是系统安全的最终保障，确保了即使AI决策模块出现系统性偏差，整个系统也能安然无恙，等待下一次优化和重启的机会。</w:t>
      </w:r>
    </w:p>
    <w:bookmarkEnd w:id="36"/>
    <w:bookmarkEnd w:id="37"/>
    <w:bookmarkStart w:id="43" w:name="系统实现从架构蓝图到代码模块"/>
    <w:p>
      <w:pPr>
        <w:pStyle w:val="2"/>
      </w:pPr>
      <w:r>
        <w:t xml:space="preserve">5. </w:t>
      </w:r>
      <w:r>
        <w:rPr>
          <w:rFonts w:hint="eastAsia"/>
        </w:rPr>
        <w:t xml:space="preserve">系统实现：从架构蓝图到代码模块</w:t>
      </w:r>
    </w:p>
    <w:p>
      <w:pPr>
        <w:pStyle w:val="FirstParagraph"/>
      </w:pPr>
      <w:r>
        <w:rPr>
          <w:rFonts w:hint="eastAsia"/>
        </w:rPr>
        <w:t xml:space="preserve">在前序章节中，我们已经完成了对本项目核心架构、数据源、AI决策引擎以及风险管理框架的理论构建。然而，任何宏伟的蓝图都需要坚实的代码作为支撑才能从构想变为现实。本章将聚焦于系统的具体实现，详细拆解如何将前文所述的各个核心模块转化为可执行、可维护的Python代码。我们将遵循“管道-过滤器”的架构思想，逐一阐述数据采集、特征工程、AI决策、订单执行及监控等模块的技术细节与实现难点，并探讨如何借助开源社区的力量，加速项目的开发进程。</w:t>
      </w:r>
    </w:p>
    <w:bookmarkStart w:id="38" w:name="数据采集模块多源适配与缓存设计"/>
    <w:p>
      <w:pPr>
        <w:pStyle w:val="3"/>
      </w:pPr>
      <w:r>
        <w:t xml:space="preserve">5.1 </w:t>
      </w:r>
      <w:r>
        <w:rPr>
          <w:rFonts w:hint="eastAsia"/>
        </w:rPr>
        <w:t xml:space="preserve">数据采集模块：多源适配与缓存设计</w:t>
      </w:r>
    </w:p>
    <w:p>
      <w:pPr>
        <w:pStyle w:val="FirstParagraph"/>
      </w:pPr>
      <w:r>
        <w:rPr>
          <w:rFonts w:hint="eastAsia"/>
        </w:rPr>
        <w:t xml:space="preserve">数据采集模块是整个AI交易系统的“感官”，其可靠性与效率直接决定了决策引擎的质量。该模块的核心任务是从多个异构数据源（如加密货币交易所、链上数据平台GMGN）中，以稳定、高效的方式获取原始市场数据。实现这一目标的关键在于构建一个灵活的适配器系统、实施严格的API速率限制管理，并引入数据缓存机制以提升系统的鲁棒性。</w:t>
      </w:r>
    </w:p>
    <w:p>
      <w:pPr>
        <w:pStyle w:val="BodyText"/>
      </w:pPr>
      <w:r>
        <w:rPr>
          <w:rFonts w:hint="eastAsia"/>
        </w:rPr>
        <w:t xml:space="preserve">首先，为了应对不同数据源的API接口差异，我们应采用</w:t>
      </w:r>
      <w:r>
        <w:t xml:space="preserve"> </w:t>
      </w:r>
      <w:r>
        <w:rPr>
          <w:rFonts w:hint="eastAsia"/>
          <w:b/>
          <w:bCs/>
        </w:rPr>
        <w:t xml:space="preserve">适配器模式（Adapter</w:t>
      </w:r>
      <w:r>
        <w:rPr>
          <w:b/>
          <w:bCs/>
        </w:rPr>
        <w:t xml:space="preserve"> </w:t>
      </w:r>
      <w:r>
        <w:rPr>
          <w:rFonts w:hint="eastAsia"/>
          <w:b/>
          <w:bCs/>
        </w:rPr>
        <w:t xml:space="preserve">Pattern）</w:t>
      </w:r>
      <w:r>
        <w:t xml:space="preserve"> </w:t>
      </w:r>
      <w:r>
        <w:rPr>
          <w:rFonts w:hint="eastAsia"/>
        </w:rPr>
        <w:t xml:space="preserve">。这意味着为每个数据源（如Binance、GMGN）编写一个独立的适配器类，该类封装了与特定数据源通信的所有细节，包括API端点、身份验证、数据格式转换等。通过定义一个统一的</w:t>
      </w:r>
      <w:r>
        <w:rPr>
          <w:rStyle w:val="VerbatimChar"/>
        </w:rPr>
        <w:t xml:space="preserve">DataProvider</w:t>
      </w:r>
      <w:r>
        <w:rPr>
          <w:rFonts w:hint="eastAsia"/>
        </w:rPr>
        <w:t xml:space="preserve">接口，所有适配器都必须实现</w:t>
      </w:r>
      <w:r>
        <w:rPr>
          <w:rStyle w:val="VerbatimChar"/>
        </w:rPr>
        <w:t xml:space="preserve">fetch_market_data()</w:t>
      </w:r>
      <w:r>
        <w:rPr>
          <w:rFonts w:hint="eastAsia"/>
        </w:rPr>
        <w:t xml:space="preserve">和</w:t>
      </w:r>
      <w:r>
        <w:rPr>
          <w:rStyle w:val="VerbatimChar"/>
        </w:rPr>
        <w:t xml:space="preserve">fetch_order_book()</w:t>
      </w:r>
      <w:r>
        <w:rPr>
          <w:rFonts w:hint="eastAsia"/>
        </w:rPr>
        <w:t xml:space="preserve">等方法，从而确保数据采集模块的输出是标准化的数据流，无论底层数据源如何变化，都不会影响后续特征工程模块的处理逻辑。</w:t>
      </w:r>
    </w:p>
    <w:p>
      <w:pPr>
        <w:pStyle w:val="BodyText"/>
      </w:pPr>
      <w:r>
        <w:rPr>
          <w:rFonts w:hint="eastAsia"/>
        </w:rPr>
        <w:t xml:space="preserve">其次，API速率限制是数据采集面临的核心挑战之一。加密货币交易所和AI服务提供商通常会对API调用频率进行严格限制，以防止服务过载。频繁的调用不仅可能导致数据获取中断，更可能触发账户的临时或永久封禁，这对于自动化交易系统而言是灾难性的。因此，在代码实现中，必须集成成熟的速率限制库（如</w:t>
      </w:r>
      <w:r>
        <w:rPr>
          <w:rStyle w:val="VerbatimChar"/>
        </w:rPr>
        <w:t xml:space="preserve">ratelimit</w:t>
      </w:r>
      <w:r>
        <w:rPr>
          <w:rFonts w:hint="eastAsia"/>
        </w:rPr>
        <w:t xml:space="preserve">），并采用“令牌桶”或“漏桶”等算法来平滑请求流量。同时，应实现</w:t>
      </w:r>
      <w:r>
        <w:t xml:space="preserve"> </w:t>
      </w:r>
      <w:r>
        <w:rPr>
          <w:rFonts w:hint="eastAsia"/>
          <w:b/>
          <w:bCs/>
        </w:rPr>
        <w:t xml:space="preserve">“断路器”</w:t>
      </w:r>
      <w:r>
        <w:rPr>
          <w:rFonts w:hint="eastAsia"/>
          <w:b/>
          <w:bCs/>
        </w:rPr>
        <w:t xml:space="preserve">（Circuit</w:t>
      </w:r>
      <w:r>
        <w:rPr>
          <w:b/>
          <w:bCs/>
        </w:rPr>
        <w:t xml:space="preserve"> </w:t>
      </w:r>
      <w:r>
        <w:rPr>
          <w:rFonts w:hint="eastAsia"/>
          <w:b/>
          <w:bCs/>
        </w:rPr>
        <w:t xml:space="preserve">Breaker）模式</w:t>
      </w:r>
      <w:r>
        <w:t xml:space="preserve"> </w:t>
      </w:r>
      <w:r>
        <w:rPr>
          <w:rFonts w:hint="eastAsia"/>
        </w:rPr>
        <w:t xml:space="preserve">和</w:t>
      </w:r>
      <w:r>
        <w:t xml:space="preserve"> </w:t>
      </w:r>
      <w:r>
        <w:rPr>
          <w:rFonts w:hint="eastAsia"/>
          <w:b/>
          <w:bCs/>
        </w:rPr>
        <w:t xml:space="preserve">“指数退避”</w:t>
      </w:r>
      <w:r>
        <w:rPr>
          <w:rFonts w:hint="eastAsia"/>
          <w:b/>
          <w:bCs/>
        </w:rPr>
        <w:t xml:space="preserve">（Exponential</w:t>
      </w:r>
      <w:r>
        <w:rPr>
          <w:b/>
          <w:bCs/>
        </w:rPr>
        <w:t xml:space="preserve"> </w:t>
      </w:r>
      <w:r>
        <w:rPr>
          <w:rFonts w:hint="eastAsia"/>
          <w:b/>
          <w:bCs/>
        </w:rPr>
        <w:t xml:space="preserve">Backoff）</w:t>
      </w:r>
      <w:r>
        <w:t xml:space="preserve"> </w:t>
      </w:r>
      <w:r>
        <w:rPr>
          <w:rFonts w:hint="eastAsia"/>
        </w:rPr>
        <w:t xml:space="preserve">重试机制。当连续多次调用失败（如收到429</w:t>
      </w:r>
      <w:r>
        <w:t xml:space="preserve"> Too Many </w:t>
      </w:r>
      <w:r>
        <w:rPr>
          <w:rFonts w:hint="eastAsia"/>
        </w:rPr>
        <w:t xml:space="preserve">Requests或5xx服务器错误）时，断路器应暂时打开，暂停对该数据源的请求，避免进一步的资源浪费和潜在的处罚。对于非致命性的瞬时故障，则应使用指数退避策略进行重试，即每次重试的间隔时间呈指数级增长，直至达到最大重试次数或故障恢复。</w:t>
      </w:r>
    </w:p>
    <w:p>
      <w:pPr>
        <w:pStyle w:val="BodyText"/>
      </w:pPr>
      <w:r>
        <w:rPr>
          <w:rFonts w:hint="eastAsia"/>
        </w:rPr>
        <w:t xml:space="preserve">最后，引入</w:t>
      </w:r>
      <w:r>
        <w:t xml:space="preserve"> </w:t>
      </w:r>
      <w:r>
        <w:rPr>
          <w:rFonts w:hint="eastAsia"/>
          <w:b/>
          <w:bCs/>
        </w:rPr>
        <w:t xml:space="preserve">数据缓存</w:t>
      </w:r>
      <w:r>
        <w:t xml:space="preserve"> </w:t>
      </w:r>
      <w:r>
        <w:rPr>
          <w:rFonts w:hint="eastAsia"/>
        </w:rPr>
        <w:t xml:space="preserve">是提升系统稳定性和响应速度的关键一环。对于时效性要求不高的历史数据（如K线图），可以利用Redis等内存数据库进行缓存。当API服务暂时不可用时，系统可以降级使用缓存中的历史数据进行回测或策略分析，从而避免完全的功能瘫痪。这种设计不仅增强了系统的容错能力，也为后续的策略优化和模型训练提供了便利。</w:t>
      </w:r>
    </w:p>
    <w:bookmarkEnd w:id="38"/>
    <w:bookmarkStart w:id="39" w:name="特征工程模块从原始数据到ai输入"/>
    <w:p>
      <w:pPr>
        <w:pStyle w:val="3"/>
      </w:pPr>
      <w:r>
        <w:t xml:space="preserve">5.2 </w:t>
      </w:r>
      <w:r>
        <w:rPr>
          <w:rFonts w:hint="eastAsia"/>
        </w:rPr>
        <w:t xml:space="preserve">特征工程模块：从原始数据到AI输入</w:t>
      </w:r>
    </w:p>
    <w:p>
      <w:pPr>
        <w:pStyle w:val="FirstParagraph"/>
      </w:pPr>
      <w:r>
        <w:rPr>
          <w:rFonts w:hint="eastAsia"/>
        </w:rPr>
        <w:t xml:space="preserve">如果说数据采集模块提供了“原材料”，那么特征工程模块就是将这些原材料加工成AI决策模型能够“食用”的精美“菜肴”的核心厨房。其主要功能是对原始市场数据（如价格、成交量、订单簿深度）进行清洗、转换和特征提取，生成包含预测价值的特征向量。这一过程对于提升模型预测的准确性至关重要，因为一个高质量的特征集能够显著降低模型的复杂性并提高其泛化能力。</w:t>
      </w:r>
    </w:p>
    <w:p>
      <w:pPr>
        <w:pStyle w:val="BodyText"/>
      </w:pPr>
      <w:r>
        <w:rPr>
          <w:rFonts w:hint="eastAsia"/>
        </w:rPr>
        <w:t xml:space="preserve">实现特征工程模块的第一步是</w:t>
      </w:r>
      <w:r>
        <w:t xml:space="preserve"> </w:t>
      </w:r>
      <w:r>
        <w:rPr>
          <w:rFonts w:hint="eastAsia"/>
          <w:b/>
          <w:bCs/>
        </w:rPr>
        <w:t xml:space="preserve">数据清洗与预处理</w:t>
      </w:r>
      <w:r>
        <w:t xml:space="preserve"> </w:t>
      </w:r>
      <w:r>
        <w:rPr>
          <w:rFonts w:hint="eastAsia"/>
        </w:rPr>
        <w:t xml:space="preserve">。原始数据流中可能包含缺失值、异常值或重复数据，这些“噪声”会严重干扰AI模型的学习过程。因此，必须使用Pandas等强大的数据处理库，对数据进行去重、填补缺失值（如使用前序值或平均值）和剔除异常值（如基于Z-score或IQR方法）等操作。</w:t>
      </w:r>
    </w:p>
    <w:p>
      <w:pPr>
        <w:pStyle w:val="BodyText"/>
      </w:pPr>
      <w:r>
        <w:rPr>
          <w:rFonts w:hint="eastAsia"/>
        </w:rPr>
        <w:t xml:space="preserve">接下来是</w:t>
      </w:r>
      <w:r>
        <w:t xml:space="preserve"> </w:t>
      </w:r>
      <w:r>
        <w:rPr>
          <w:rFonts w:hint="eastAsia"/>
          <w:b/>
          <w:bCs/>
        </w:rPr>
        <w:t xml:space="preserve">特征计算</w:t>
      </w:r>
      <w:r>
        <w:t xml:space="preserve"> </w:t>
      </w:r>
      <w:r>
        <w:rPr>
          <w:rFonts w:hint="eastAsia"/>
        </w:rPr>
        <w:t xml:space="preserve">。这是将原始数据转化为决策信号的关键步骤。我们需要构建一个灵活的特征库，其中包含多种常用的技术指标和市场情绪指标。例如，可以计算：</w:t>
      </w:r>
    </w:p>
    <w:p>
      <w:pPr>
        <w:numPr>
          <w:ilvl w:val="0"/>
          <w:numId w:val="1010"/>
        </w:numPr>
      </w:pPr>
      <w:r>
        <w:rPr>
          <w:rFonts w:hint="eastAsia"/>
          <w:b/>
          <w:bCs/>
        </w:rPr>
        <w:t xml:space="preserve">技术指标</w:t>
      </w:r>
      <w:r>
        <w:t xml:space="preserve"> </w:t>
      </w:r>
      <w:r>
        <w:rPr>
          <w:rFonts w:hint="eastAsia"/>
        </w:rPr>
        <w:t xml:space="preserve">：移动平均线（MA）、相对强弱指数（RSI）、MACD、布林带（Bollinger</w:t>
      </w:r>
      <w:r>
        <w:t xml:space="preserve"> </w:t>
      </w:r>
      <w:r>
        <w:rPr>
          <w:rFonts w:hint="eastAsia"/>
        </w:rPr>
        <w:t xml:space="preserve">Bands）等。</w:t>
      </w:r>
    </w:p>
    <w:p>
      <w:pPr>
        <w:numPr>
          <w:ilvl w:val="0"/>
          <w:numId w:val="1010"/>
        </w:numPr>
      </w:pPr>
      <w:r>
        <w:rPr>
          <w:rFonts w:hint="eastAsia"/>
          <w:b/>
          <w:bCs/>
        </w:rPr>
        <w:t xml:space="preserve">市场微观结构特征</w:t>
      </w:r>
      <w:r>
        <w:t xml:space="preserve"> </w:t>
      </w:r>
      <w:r>
        <w:rPr>
          <w:rFonts w:hint="eastAsia"/>
        </w:rPr>
        <w:t xml:space="preserve">：买卖盘深度、成交量加权平均价（VWAP）、订单流不平衡度等。</w:t>
      </w:r>
    </w:p>
    <w:p>
      <w:pPr>
        <w:numPr>
          <w:ilvl w:val="0"/>
          <w:numId w:val="1010"/>
        </w:numPr>
      </w:pPr>
      <w:r>
        <w:rPr>
          <w:rFonts w:hint="eastAsia"/>
          <w:b/>
          <w:bCs/>
        </w:rPr>
        <w:t xml:space="preserve">链上数据特征</w:t>
      </w:r>
      <w:r>
        <w:t xml:space="preserve"> </w:t>
      </w:r>
      <w:r>
        <w:rPr>
          <w:rFonts w:hint="eastAsia"/>
        </w:rPr>
        <w:t xml:space="preserve">：从GMGN等平台提取的“老鼠仓”预警、KOL持仓变化、大额转账记录等。</w:t>
      </w:r>
    </w:p>
    <w:p>
      <w:pPr>
        <w:pStyle w:val="FirstParagraph"/>
      </w:pPr>
      <w:r>
        <w:rPr>
          <w:rFonts w:hint="eastAsia"/>
        </w:rPr>
        <w:t xml:space="preserve">这些特征共同构成了描述当前市场状态的多维向量。为了确保AI模型能够有效学习这些特征，通常还需要进行</w:t>
      </w:r>
      <w:r>
        <w:t xml:space="preserve"> </w:t>
      </w:r>
      <w:r>
        <w:rPr>
          <w:rFonts w:hint="eastAsia"/>
          <w:b/>
          <w:bCs/>
        </w:rPr>
        <w:t xml:space="preserve">数据标准化</w:t>
      </w:r>
      <w:r>
        <w:t xml:space="preserve"> </w:t>
      </w:r>
      <w:r>
        <w:rPr>
          <w:rFonts w:hint="eastAsia"/>
        </w:rPr>
        <w:t xml:space="preserve">处理，例如将所有特征值缩放到0-1的区间内，或转换为均值为0、方差为1的标准正态分布。</w:t>
      </w:r>
    </w:p>
    <w:bookmarkEnd w:id="39"/>
    <w:bookmarkStart w:id="40" w:name="订单执行模块统一交易接口与健壮性设计"/>
    <w:p>
      <w:pPr>
        <w:pStyle w:val="3"/>
      </w:pPr>
      <w:r>
        <w:t xml:space="preserve">5.3 </w:t>
      </w:r>
      <w:r>
        <w:rPr>
          <w:rFonts w:hint="eastAsia"/>
        </w:rPr>
        <w:t xml:space="preserve">订单执行模块：统一交易接口与健壮性设计</w:t>
      </w:r>
    </w:p>
    <w:p>
      <w:pPr>
        <w:pStyle w:val="FirstParagraph"/>
      </w:pPr>
      <w:r>
        <w:rPr>
          <w:rFonts w:hint="eastAsia"/>
        </w:rPr>
        <w:t xml:space="preserve">订单执行模块是连接虚拟决策与真实市场的桥梁，其核心职责是接收来自风险管理模块的最终交易指令（如买入/卖出某资产、数量、价格类型），并通过交易所API将其可靠地执行。该模块的设计难点在于处理交易所API的多样性、网络通信的不确定性以及交易执行中的微观风险（如滑点）。</w:t>
      </w:r>
    </w:p>
    <w:p>
      <w:pPr>
        <w:pStyle w:val="BodyText"/>
      </w:pPr>
      <w:r>
        <w:rPr>
          <w:rFonts w:hint="eastAsia"/>
        </w:rPr>
        <w:t xml:space="preserve">为了屏蔽不同交易所API的复杂性，我们应设计一个</w:t>
      </w:r>
      <w:r>
        <w:t xml:space="preserve"> </w:t>
      </w:r>
      <w:r>
        <w:rPr>
          <w:rFonts w:hint="eastAsia"/>
          <w:b/>
          <w:bCs/>
        </w:rPr>
        <w:t xml:space="preserve">统一交易接口（Unified</w:t>
      </w:r>
      <w:r>
        <w:rPr>
          <w:b/>
          <w:bCs/>
        </w:rPr>
        <w:t xml:space="preserve"> Trading Interface, </w:t>
      </w:r>
      <w:r>
        <w:rPr>
          <w:rFonts w:hint="eastAsia"/>
          <w:b/>
          <w:bCs/>
        </w:rPr>
        <w:t xml:space="preserve">UTI）</w:t>
      </w:r>
      <w:r>
        <w:t xml:space="preserve"> </w:t>
      </w:r>
      <w:r>
        <w:rPr>
          <w:rFonts w:hint="eastAsia"/>
        </w:rPr>
        <w:t xml:space="preserve">。该接口定义了所有交易相关的操作，如</w:t>
      </w:r>
      <w:r>
        <w:rPr>
          <w:rStyle w:val="VerbatimChar"/>
        </w:rPr>
        <w:t xml:space="preserve">create_order()</w:t>
      </w:r>
      <w:r>
        <w:t xml:space="preserve">、</w:t>
      </w:r>
      <w:r>
        <w:rPr>
          <w:rStyle w:val="VerbatimChar"/>
        </w:rPr>
        <w:t xml:space="preserve">cancel_order()</w:t>
      </w:r>
      <w:r>
        <w:t xml:space="preserve">、</w:t>
      </w:r>
      <w:r>
        <w:rPr>
          <w:rStyle w:val="VerbatimChar"/>
        </w:rPr>
        <w:t xml:space="preserve">get_order_status()</w:t>
      </w:r>
      <w:r>
        <w:rPr>
          <w:rFonts w:hint="eastAsia"/>
        </w:rPr>
        <w:t xml:space="preserve">等。与数据采集模块类似，为每个支持的交易所（如Binance、Coinbase）编写一个适配器，实现这些统一接口的方法。这样，无论未来对接多少个交易所，上层的交易逻辑都无需修改，极大地提升了系统的可扩展性。在Python生态中，</w:t>
      </w:r>
      <w:r>
        <w:rPr>
          <w:rStyle w:val="VerbatimChar"/>
        </w:rPr>
        <w:t xml:space="preserve">ccxt</w:t>
      </w:r>
      <w:r>
        <w:rPr>
          <w:rFonts w:hint="eastAsia"/>
        </w:rPr>
        <w:t xml:space="preserve">库已经为我们提供了一个功能强大的、遵循统一接口规范的加密货币交易所API集成库，可以直接作为本模块的基础。</w:t>
      </w:r>
    </w:p>
    <w:p>
      <w:pPr>
        <w:pStyle w:val="BodyText"/>
      </w:pPr>
      <w:r>
        <w:rPr>
          <w:rFonts w:hint="eastAsia"/>
        </w:rPr>
        <w:t xml:space="preserve">在订单执行的健壮性方面，必须实现一个</w:t>
      </w:r>
      <w:r>
        <w:t xml:space="preserve"> </w:t>
      </w:r>
      <w:r>
        <w:rPr>
          <w:rFonts w:hint="eastAsia"/>
          <w:b/>
          <w:bCs/>
        </w:rPr>
        <w:t xml:space="preserve">智能订单执行器</w:t>
      </w:r>
      <w:r>
        <w:t xml:space="preserve"> </w:t>
      </w:r>
      <w:r>
        <w:rPr>
          <w:rFonts w:hint="eastAsia"/>
        </w:rPr>
        <w:t xml:space="preserve">。它需要具备以下能力：</w:t>
      </w:r>
    </w:p>
    <w:p>
      <w:pPr>
        <w:numPr>
          <w:ilvl w:val="0"/>
          <w:numId w:val="1011"/>
        </w:numPr>
      </w:pPr>
      <w:r>
        <w:rPr>
          <w:rFonts w:hint="eastAsia"/>
          <w:b/>
          <w:bCs/>
        </w:rPr>
        <w:t xml:space="preserve">状态监控与确认</w:t>
      </w:r>
      <w:r>
        <w:t xml:space="preserve"> </w:t>
      </w:r>
      <w:r>
        <w:rPr>
          <w:rFonts w:hint="eastAsia"/>
        </w:rPr>
        <w:t xml:space="preserve">：在发送订单请求后，主动轮询或通过Websocket监听订单的执行状态，确保订单已被成功接收和处理。</w:t>
      </w:r>
    </w:p>
    <w:p>
      <w:pPr>
        <w:numPr>
          <w:ilvl w:val="0"/>
          <w:numId w:val="1011"/>
        </w:numPr>
      </w:pPr>
      <w:r>
        <w:rPr>
          <w:rFonts w:hint="eastAsia"/>
          <w:b/>
          <w:bCs/>
        </w:rPr>
        <w:t xml:space="preserve">失败处理与重试</w:t>
      </w:r>
      <w:r>
        <w:t xml:space="preserve"> </w:t>
      </w:r>
      <w:r>
        <w:rPr>
          <w:rFonts w:hint="eastAsia"/>
        </w:rPr>
        <w:t xml:space="preserve">：对于因网络中断、API错误等原因导致的订单发送失败，执行器应能自动重试。重试逻辑需与数据采集模块类似，采用断路器模式和指数退避，避免因频繁重试而被交易所限流。</w:t>
      </w:r>
    </w:p>
    <w:p>
      <w:pPr>
        <w:numPr>
          <w:ilvl w:val="0"/>
          <w:numId w:val="1011"/>
        </w:numPr>
      </w:pPr>
      <w:r>
        <w:rPr>
          <w:rFonts w:hint="eastAsia"/>
          <w:b/>
          <w:bCs/>
        </w:rPr>
        <w:t xml:space="preserve">滑点控制</w:t>
      </w:r>
      <w:r>
        <w:t xml:space="preserve"> </w:t>
      </w:r>
      <w:r>
        <w:rPr>
          <w:rFonts w:hint="eastAsia"/>
        </w:rPr>
        <w:t xml:space="preserve">：在市价单交易中，实际成交价格可能与下单时的预期价格存在差异，即滑点。执行器应根据特征工程模块计算出的实时市场波动性指标（如ATR），动态调整可接受的滑点范围。在高波动市场中适当放宽滑点阈值，而在低波动市场中则应收紧，以保护交易利润。</w:t>
      </w:r>
    </w:p>
    <w:bookmarkEnd w:id="40"/>
    <w:bookmarkStart w:id="41" w:name="监控与性能模块日志仪表盘与告警"/>
    <w:p>
      <w:pPr>
        <w:pStyle w:val="3"/>
      </w:pPr>
      <w:r>
        <w:t xml:space="preserve">5.4 </w:t>
      </w:r>
      <w:r>
        <w:rPr>
          <w:rFonts w:hint="eastAsia"/>
        </w:rPr>
        <w:t xml:space="preserve">监控与性能模块：日志、仪表盘与告警</w:t>
      </w:r>
    </w:p>
    <w:p>
      <w:pPr>
        <w:pStyle w:val="FirstParagraph"/>
      </w:pPr>
      <w:r>
        <w:rPr>
          <w:rFonts w:hint="eastAsia"/>
        </w:rPr>
        <w:t xml:space="preserve">一个没有监控的自动化交易系统，无异于一个“黑箱”。监控与性能模块是系统的“仪表盘”和“警报器”，它通过记录关键运行日志、实时跟踪交易绩效，并在异常发生时发出告警，为系统的故障排查、策略优化和风险控制提供了不可或缺的反馈。</w:t>
      </w:r>
    </w:p>
    <w:p>
      <w:pPr>
        <w:pStyle w:val="BodyText"/>
      </w:pPr>
      <w:r>
        <w:rPr>
          <w:rFonts w:hint="eastAsia"/>
          <w:b/>
          <w:bCs/>
        </w:rPr>
        <w:t xml:space="preserve">日志记录</w:t>
      </w:r>
      <w:r>
        <w:t xml:space="preserve"> </w:t>
      </w:r>
      <w:r>
        <w:rPr>
          <w:rFonts w:hint="eastAsia"/>
        </w:rPr>
        <w:t xml:space="preserve">是最基础的监控手段。系统应使用Python的</w:t>
      </w:r>
      <w:r>
        <w:rPr>
          <w:rStyle w:val="VerbatimChar"/>
        </w:rPr>
        <w:t xml:space="preserve">logging</w:t>
      </w:r>
      <w:r>
        <w:rPr>
          <w:rFonts w:hint="eastAsia"/>
        </w:rPr>
        <w:t xml:space="preserve">模块，记录从数据采集到订单执行的每一个关键步骤和状态变更。日志应包含足够的上下文信息，如时间戳、模块名称、操作类型和结果，以便在出现问题时能够快速回溯和定位。</w:t>
      </w:r>
    </w:p>
    <w:p>
      <w:pPr>
        <w:pStyle w:val="BodyText"/>
      </w:pPr>
      <w:r>
        <w:rPr>
          <w:rFonts w:hint="eastAsia"/>
          <w:b/>
          <w:bCs/>
        </w:rPr>
        <w:t xml:space="preserve">实时绩效跟踪</w:t>
      </w:r>
      <w:r>
        <w:t xml:space="preserve"> </w:t>
      </w:r>
      <w:r>
        <w:rPr>
          <w:rFonts w:hint="eastAsia"/>
        </w:rPr>
        <w:t xml:space="preserve">则更为复杂和关键。该模块需要持续计算并存储核心绩效指标，例如：</w:t>
      </w:r>
    </w:p>
    <w:p>
      <w:pPr>
        <w:numPr>
          <w:ilvl w:val="0"/>
          <w:numId w:val="1012"/>
        </w:numPr>
      </w:pPr>
      <w:r>
        <w:rPr>
          <w:rFonts w:hint="eastAsia"/>
          <w:b/>
          <w:bCs/>
        </w:rPr>
        <w:t xml:space="preserve">累计盈亏（PNL）</w:t>
      </w:r>
      <w:r>
        <w:t xml:space="preserve"> </w:t>
      </w:r>
      <w:r>
        <w:rPr>
          <w:rFonts w:hint="eastAsia"/>
        </w:rPr>
        <w:t xml:space="preserve">：跟踪账户总资金的变化。</w:t>
      </w:r>
    </w:p>
    <w:p>
      <w:pPr>
        <w:numPr>
          <w:ilvl w:val="0"/>
          <w:numId w:val="1012"/>
        </w:numPr>
      </w:pPr>
      <w:r>
        <w:rPr>
          <w:rFonts w:hint="eastAsia"/>
          <w:b/>
          <w:bCs/>
        </w:rPr>
        <w:t xml:space="preserve">最大回撤（Max</w:t>
      </w:r>
      <w:r>
        <w:rPr>
          <w:b/>
          <w:bCs/>
        </w:rPr>
        <w:t xml:space="preserve"> </w:t>
      </w:r>
      <w:r>
        <w:rPr>
          <w:rFonts w:hint="eastAsia"/>
          <w:b/>
          <w:bCs/>
        </w:rPr>
        <w:t xml:space="preserve">Drawdown）</w:t>
      </w:r>
      <w:r>
        <w:t xml:space="preserve"> </w:t>
      </w:r>
      <w:r>
        <w:rPr>
          <w:rFonts w:hint="eastAsia"/>
        </w:rPr>
        <w:t xml:space="preserve">：衡量策略在一段时间内从最高点回落到最低点的幅度，是评估策略风险的核心指标。</w:t>
      </w:r>
    </w:p>
    <w:p>
      <w:pPr>
        <w:numPr>
          <w:ilvl w:val="0"/>
          <w:numId w:val="1012"/>
        </w:numPr>
      </w:pPr>
      <w:r>
        <w:rPr>
          <w:rFonts w:hint="eastAsia"/>
          <w:b/>
          <w:bCs/>
        </w:rPr>
        <w:t xml:space="preserve">胜率与盈亏比</w:t>
      </w:r>
      <w:r>
        <w:t xml:space="preserve"> </w:t>
      </w:r>
      <w:r>
        <w:rPr>
          <w:rFonts w:hint="eastAsia"/>
        </w:rPr>
        <w:t xml:space="preserve">：统计策略的历史表现。</w:t>
      </w:r>
    </w:p>
    <w:p>
      <w:pPr>
        <w:numPr>
          <w:ilvl w:val="0"/>
          <w:numId w:val="1012"/>
        </w:numPr>
      </w:pPr>
      <w:r>
        <w:rPr>
          <w:rFonts w:hint="eastAsia"/>
          <w:b/>
          <w:bCs/>
        </w:rPr>
        <w:t xml:space="preserve">夏普比率（Sharpe</w:t>
      </w:r>
      <w:r>
        <w:rPr>
          <w:b/>
          <w:bCs/>
        </w:rPr>
        <w:t xml:space="preserve"> </w:t>
      </w:r>
      <w:r>
        <w:rPr>
          <w:rFonts w:hint="eastAsia"/>
          <w:b/>
          <w:bCs/>
        </w:rPr>
        <w:t xml:space="preserve">Ratio）</w:t>
      </w:r>
      <w:r>
        <w:t xml:space="preserve"> </w:t>
      </w:r>
      <w:r>
        <w:rPr>
          <w:rFonts w:hint="eastAsia"/>
        </w:rPr>
        <w:t xml:space="preserve">：评估策略的风险调整后收益。</w:t>
      </w:r>
    </w:p>
    <w:p>
      <w:pPr>
        <w:pStyle w:val="FirstParagraph"/>
      </w:pPr>
      <w:r>
        <w:rPr>
          <w:rFonts w:hint="eastAsia"/>
        </w:rPr>
        <w:t xml:space="preserve">这些指标的计算需要依赖一个高效的数据存储系统，如SQLite或InfluxDB。</w:t>
      </w:r>
    </w:p>
    <w:p>
      <w:pPr>
        <w:pStyle w:val="BodyText"/>
      </w:pPr>
      <w:r>
        <w:rPr>
          <w:rFonts w:hint="eastAsia"/>
          <w:b/>
          <w:bCs/>
        </w:rPr>
        <w:t xml:space="preserve">可视化仪表盘</w:t>
      </w:r>
      <w:r>
        <w:t xml:space="preserve"> </w:t>
      </w:r>
      <w:r>
        <w:rPr>
          <w:rFonts w:hint="eastAsia"/>
        </w:rPr>
        <w:t xml:space="preserve">是将这些枯燥的数字转化为直观信息的最佳方式。可以利用Streamlit等轻量级Web应用框架，快速搭建一个数据看板。该看板应能实时展示账户资产、当前持仓、近期交易记录以及关键绩效指标的图表。用户通过这个仪表盘，可以一目了然地掌握系统的运行状态。</w:t>
      </w:r>
    </w:p>
    <w:p>
      <w:pPr>
        <w:pStyle w:val="BodyText"/>
      </w:pPr>
      <w:r>
        <w:rPr>
          <w:rFonts w:hint="eastAsia"/>
          <w:b/>
          <w:bCs/>
        </w:rPr>
        <w:t xml:space="preserve">告警系统</w:t>
      </w:r>
      <w:r>
        <w:t xml:space="preserve"> </w:t>
      </w:r>
      <w:r>
        <w:rPr>
          <w:rFonts w:hint="eastAsia"/>
        </w:rPr>
        <w:t xml:space="preserve">则是保障系统安全的最后一道防线。当监控模块检测到关键指标达到预设阈值时（如总资产回撤超过5%，或连续多次交易失败），应立即通过邮件、Slack消息或短信等方式向系统管理员发出告警。这确保了在极端风险事件发生时，能够第一时间被人工干预，防止损失进一步扩大。</w:t>
      </w:r>
    </w:p>
    <w:bookmarkEnd w:id="41"/>
    <w:bookmarkStart w:id="42" w:name="利用开源项目加速开发"/>
    <w:p>
      <w:pPr>
        <w:pStyle w:val="3"/>
      </w:pPr>
      <w:r>
        <w:t xml:space="preserve">5.5 </w:t>
      </w:r>
      <w:r>
        <w:rPr>
          <w:rFonts w:hint="eastAsia"/>
        </w:rPr>
        <w:t xml:space="preserve">利用开源项目加速开发</w:t>
      </w:r>
    </w:p>
    <w:p>
      <w:pPr>
        <w:pStyle w:val="FirstParagraph"/>
      </w:pPr>
      <w:r>
        <w:rPr>
          <w:rFonts w:hint="eastAsia"/>
        </w:rPr>
        <w:t xml:space="preserve">从零开始构建一个功能完备、稳定可靠的AI量化交易系统，是一项耗时巨大且技术门槛极高的工程。幸运的是，开源社区已经为我们提供了大量经过实战检验的优秀项目和工具。借鉴这些项目的架构设计、代码实现和最佳实践，不仅能显著加速开发进程，还能避免许多常见的陷阱。</w:t>
      </w:r>
    </w:p>
    <w:p>
      <w:pPr>
        <w:pStyle w:val="BodyText"/>
      </w:pPr>
      <w:r>
        <w:rPr>
          <w:rFonts w:hint="eastAsia"/>
        </w:rPr>
        <w:t xml:space="preserve">以下是几个在GitHub上备受关注的开源AI量化交易项目，它们可以作为本项目的重要参考：</w:t>
      </w:r>
    </w:p>
    <w:tbl>
      <w:tblPr>
        <w:tblStyle w:val="TableCustom"/>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rPr>
                <w:rFonts w:hint="eastAsia"/>
              </w:rPr>
              <w:t xml:space="preserve">项目名称</w:t>
            </w:r>
          </w:p>
        </w:tc>
        <w:tc>
          <w:tcPr/>
          <w:p>
            <w:pPr>
              <w:pStyle w:val="Compact"/>
            </w:pPr>
            <w:r>
              <w:rPr>
                <w:rFonts w:hint="eastAsia"/>
              </w:rPr>
              <w:t xml:space="preserve">核心特点与优势</w:t>
            </w:r>
          </w:p>
        </w:tc>
        <w:tc>
          <w:tcPr/>
          <w:p>
            <w:pPr>
              <w:pStyle w:val="Compact"/>
            </w:pPr>
            <w:r>
              <w:rPr>
                <w:rFonts w:hint="eastAsia"/>
              </w:rPr>
              <w:t xml:space="preserve">主要技术栈</w:t>
            </w:r>
          </w:p>
        </w:tc>
      </w:tr>
      <w:tr>
        <w:tc>
          <w:tcPr/>
          <w:p>
            <w:pPr>
              <w:pStyle w:val="Compact"/>
            </w:pPr>
            <w:r>
              <w:rPr>
                <w:b/>
                <w:bCs/>
              </w:rPr>
              <w:t xml:space="preserve">TensorTrade-NG</w:t>
            </w:r>
          </w:p>
        </w:tc>
        <w:tc>
          <w:tcPr/>
          <w:p>
            <w:pPr>
              <w:pStyle w:val="Compact"/>
            </w:pPr>
            <w:r>
              <w:rPr>
                <w:rFonts w:hint="eastAsia"/>
              </w:rPr>
              <w:t xml:space="preserve">模块化设计，AI策略可通过强化学习（RL）实现自我进化；提供便捷的快速原型验证环境。</w:t>
            </w:r>
          </w:p>
        </w:tc>
        <w:tc>
          <w:tcPr/>
          <w:p>
            <w:pPr>
              <w:pStyle w:val="Compact"/>
            </w:pPr>
            <w:r>
              <w:t xml:space="preserve">Python, Ray </w:t>
            </w:r>
            <w:r>
              <w:rPr>
                <w:rFonts w:hint="eastAsia"/>
              </w:rPr>
              <w:t xml:space="preserve">(分布式计算),</w:t>
            </w:r>
            <w:r>
              <w:t xml:space="preserve"> Stable-Baselines3 </w:t>
            </w:r>
            <w:r>
              <w:rPr>
                <w:rFonts w:hint="eastAsia"/>
              </w:rPr>
              <w:t xml:space="preserve">(强化学习)</w:t>
            </w:r>
          </w:p>
        </w:tc>
      </w:tr>
      <w:tr>
        <w:tc>
          <w:tcPr/>
          <w:p>
            <w:pPr>
              <w:pStyle w:val="Compact"/>
            </w:pPr>
            <w:r>
              <w:rPr>
                <w:b/>
                <w:bCs/>
              </w:rPr>
              <w:t xml:space="preserve">Freqtrade</w:t>
            </w:r>
          </w:p>
        </w:tc>
        <w:tc>
          <w:tcPr/>
          <w:p>
            <w:pPr>
              <w:pStyle w:val="Compact"/>
            </w:pPr>
            <w:r>
              <w:rPr>
                <w:rFonts w:hint="eastAsia"/>
              </w:rPr>
              <w:t xml:space="preserve">专注于加密货币交易的开源机器人；提供回测引擎、策略优化和交易执行等功能。</w:t>
            </w:r>
          </w:p>
        </w:tc>
        <w:tc>
          <w:tcPr/>
          <w:p>
            <w:pPr>
              <w:pStyle w:val="Compact"/>
            </w:pPr>
            <w:r>
              <w:t xml:space="preserve">Python, ccxt </w:t>
            </w:r>
            <w:r>
              <w:rPr>
                <w:rFonts w:hint="eastAsia"/>
              </w:rPr>
              <w:t xml:space="preserve">(交易所API集成),</w:t>
            </w:r>
            <w:r>
              <w:t xml:space="preserve"> Pandas </w:t>
            </w:r>
            <w:r>
              <w:rPr>
                <w:rFonts w:hint="eastAsia"/>
              </w:rPr>
              <w:t xml:space="preserve">(数据处理)</w:t>
            </w:r>
          </w:p>
        </w:tc>
      </w:tr>
      <w:tr>
        <w:tc>
          <w:tcPr/>
          <w:p>
            <w:pPr>
              <w:pStyle w:val="Compact"/>
            </w:pPr>
            <w:r>
              <w:rPr>
                <w:b/>
                <w:bCs/>
              </w:rPr>
              <w:t xml:space="preserve">Qlib</w:t>
            </w:r>
          </w:p>
        </w:tc>
        <w:tc>
          <w:tcPr/>
          <w:p>
            <w:pPr>
              <w:pStyle w:val="Compact"/>
            </w:pPr>
            <w:r>
              <w:rPr>
                <w:rFonts w:hint="eastAsia"/>
              </w:rPr>
              <w:t xml:space="preserve">微软亚洲研究院开发的AI量化投资工具包，专为AI模型在金融领域的应用设计。</w:t>
            </w:r>
          </w:p>
        </w:tc>
        <w:tc>
          <w:tcPr/>
          <w:p>
            <w:pPr>
              <w:pStyle w:val="Compact"/>
            </w:pPr>
            <w:r>
              <w:t xml:space="preserve">Python, PyTorch/TensorFlow </w:t>
            </w:r>
            <w:r>
              <w:rPr>
                <w:rFonts w:hint="eastAsia"/>
              </w:rPr>
              <w:t xml:space="preserve">(AI模型),</w:t>
            </w:r>
            <w:r>
              <w:t xml:space="preserve"> Pandas </w:t>
            </w:r>
            <w:r>
              <w:rPr>
                <w:rFonts w:hint="eastAsia"/>
              </w:rPr>
              <w:t xml:space="preserve">(数据处理)</w:t>
            </w:r>
          </w:p>
        </w:tc>
      </w:tr>
      <w:tr>
        <w:tc>
          <w:tcPr/>
          <w:p>
            <w:pPr>
              <w:pStyle w:val="Compact"/>
            </w:pPr>
            <w:r>
              <w:rPr>
                <w:b/>
                <w:bCs/>
              </w:rPr>
              <w:t xml:space="preserve">Backtrader</w:t>
            </w:r>
          </w:p>
        </w:tc>
        <w:tc>
          <w:tcPr/>
          <w:p>
            <w:pPr>
              <w:pStyle w:val="Compact"/>
            </w:pPr>
            <w:r>
              <w:rPr>
                <w:rFonts w:hint="eastAsia"/>
              </w:rPr>
              <w:t xml:space="preserve">轻量级、灵活的Python回测框架，支持多种数据源和交易接口，易于策略编写和测试。</w:t>
            </w:r>
          </w:p>
        </w:tc>
        <w:tc>
          <w:tcPr/>
          <w:p>
            <w:pPr>
              <w:pStyle w:val="Compact"/>
            </w:pPr>
            <w:r>
              <w:t xml:space="preserve">Python, Pandas </w:t>
            </w:r>
            <w:r>
              <w:rPr>
                <w:rFonts w:hint="eastAsia"/>
              </w:rPr>
              <w:t xml:space="preserve">(数据处理)</w:t>
            </w:r>
          </w:p>
        </w:tc>
      </w:tr>
    </w:tbl>
    <w:p>
      <w:pPr>
        <w:pStyle w:val="BodyText"/>
      </w:pPr>
      <w:r>
        <w:rPr>
          <w:rFonts w:hint="eastAsia"/>
          <w:i/>
          <w:iCs/>
        </w:rPr>
        <w:t xml:space="preserve">数据来源：根据公开信息整理</w:t>
      </w:r>
    </w:p>
    <w:p>
      <w:pPr>
        <w:pStyle w:val="BodyText"/>
      </w:pPr>
      <w:r>
        <w:rPr>
          <w:rFonts w:hint="eastAsia"/>
        </w:rPr>
        <w:t xml:space="preserve">这些项目的代码库是宝贵的学习资源。开发者可以通过分析它们的代码结构，学习如何组织一个大型的Python项目、如何设计模块间的通信协议、以及如何处理复杂的交易逻辑。例如，研究</w:t>
      </w:r>
      <w:r>
        <w:rPr>
          <w:rStyle w:val="VerbatimChar"/>
        </w:rPr>
        <w:t xml:space="preserve">Backtrader</w:t>
      </w:r>
      <w:r>
        <w:rPr>
          <w:rFonts w:hint="eastAsia"/>
        </w:rPr>
        <w:t xml:space="preserve">的回测引擎，可以帮助我们理解如何高效地模拟历史交易数据并评估策略表现；而</w:t>
      </w:r>
      <w:r>
        <w:rPr>
          <w:rStyle w:val="VerbatimChar"/>
        </w:rPr>
        <w:t xml:space="preserve">Freqtrade</w:t>
      </w:r>
      <w:r>
        <w:rPr>
          <w:rFonts w:hint="eastAsia"/>
        </w:rPr>
        <w:t xml:space="preserve">的插件系统，则展示了如何通过模块化设计来支持新的数据源和交易策略。</w:t>
      </w:r>
    </w:p>
    <w:p>
      <w:pPr>
        <w:pStyle w:val="BodyText"/>
      </w:pPr>
      <w:r>
        <w:rPr>
          <w:rFonts w:hint="eastAsia"/>
        </w:rPr>
        <w:t xml:space="preserve">由此可见，将本项目定位为一个“业余兴趣探索”，意味着我们可以充分利用开源社区的集体智慧，站在巨人的肩膀上进行创新和迭代，从而将更多的精力聚焦于核心的AI决策逻辑和风险管理策略的优化上。</w:t>
      </w:r>
    </w:p>
    <w:bookmarkEnd w:id="42"/>
    <w:bookmarkEnd w:id="43"/>
    <w:bookmarkStart w:id="47" w:name="重大风险与挑战技术财务与合规"/>
    <w:p>
      <w:pPr>
        <w:pStyle w:val="2"/>
      </w:pPr>
      <w:r>
        <w:t xml:space="preserve">6. </w:t>
      </w:r>
      <w:r>
        <w:rPr>
          <w:rFonts w:hint="eastAsia"/>
        </w:rPr>
        <w:t xml:space="preserve">重大风险与挑战：技术、财务与合规</w:t>
      </w:r>
    </w:p>
    <w:p>
      <w:pPr>
        <w:pStyle w:val="FirstParagraph"/>
      </w:pPr>
      <w:r>
        <w:rPr>
          <w:rFonts w:hint="eastAsia"/>
        </w:rPr>
        <w:t xml:space="preserve">在前序章节中，我们系统性地构建了一个从数据采集到交易执行的完整AI自动化交易框架。然而，任何技术蓝图在迈向现实的过程中，都必须正视并审慎评估其潜在的风险与挑战。本章节将坦诚地剖析本项目在实施过程中可能遭遇的三大核心挑战：技术层面上大型语言模型（LLM）固有的不确定性，财务层面上持续的运营成本压力，以及法律合规层面上全球监管环境的复杂性。对于每一个风险点，我们将不仅描述其潜在影响，更提供切实可行的缓解策略，以展现项目规划的周密性与应对不确定性的决心。</w:t>
      </w:r>
    </w:p>
    <w:bookmarkStart w:id="44" w:name="技术挑战llm输出的不确定性与幻觉"/>
    <w:p>
      <w:pPr>
        <w:pStyle w:val="3"/>
      </w:pPr>
      <w:r>
        <w:t xml:space="preserve">6.1 </w:t>
      </w:r>
      <w:r>
        <w:rPr>
          <w:rFonts w:hint="eastAsia"/>
        </w:rPr>
        <w:t xml:space="preserve">技术挑战：LLM输出的不确定性与幻觉</w:t>
      </w:r>
    </w:p>
    <w:p>
      <w:pPr>
        <w:pStyle w:val="FirstParagraph"/>
      </w:pPr>
      <w:r>
        <w:rPr>
          <w:rFonts w:hint="eastAsia"/>
        </w:rPr>
        <w:t xml:space="preserve">尽管DeepSeek</w:t>
      </w:r>
      <w:r>
        <w:t xml:space="preserve"> </w:t>
      </w:r>
      <w:r>
        <w:rPr>
          <w:rFonts w:hint="eastAsia"/>
        </w:rPr>
        <w:t xml:space="preserve">API在第三章中展现了强大的性能与成本优势，但其作为大型语言模型的本质，决定了其输出并非绝对可靠。这一特性为本项目带来了最严峻的技术挑战，即如何有效管理和利用LLM固有的随机性与“幻觉”倾向，避免其生成格式错误的响应或做出不合理、高风险的决策。</w:t>
      </w:r>
    </w:p>
    <w:p>
      <w:pPr>
        <w:pStyle w:val="BodyText"/>
      </w:pPr>
      <w:r>
        <w:rPr>
          <w:rFonts w:hint="eastAsia"/>
        </w:rPr>
        <w:t xml:space="preserve">LLM的决策过程本质上是一个概率性的推理过程，其输出结果受到模型自身训练数据、算法设计以及输入提示词质量的多重影响。这种固有的不确定性意味着，即使是同一个市场信号，模型在不同时间或不同调用下，也可能产生截然不同的交易建议。更具威胁的是“幻觉”（Hallucination）现象，即模型基于其内部知识而非真实输入数据，生成看似合理但实则错误的信息。在Alpha</w:t>
      </w:r>
      <w:r>
        <w:t xml:space="preserve"> </w:t>
      </w:r>
      <w:r>
        <w:rPr>
          <w:rFonts w:hint="eastAsia"/>
        </w:rPr>
        <w:t xml:space="preserve">Arena等全球顶级AI实盘交易竞赛中，尽管DeepSeek模型在整体表现上一度领先，但在市场剧烈波动的特定时期，其决策的稳定性和准确性也面临考验，这正是LLM局限性的直接体现。</w:t>
      </w:r>
    </w:p>
    <w:p>
      <w:pPr>
        <w:pStyle w:val="BodyText"/>
      </w:pPr>
      <w:r>
        <w:rPr>
          <w:rFonts w:hint="eastAsia"/>
        </w:rPr>
        <w:t xml:space="preserve">为了将这种固有的技术风险降至最低，我们必须在系统设计中构建两道关键的“安全网”：</w:t>
      </w:r>
    </w:p>
    <w:p>
      <w:pPr>
        <w:numPr>
          <w:ilvl w:val="0"/>
          <w:numId w:val="1013"/>
        </w:numPr>
      </w:pPr>
      <w:r>
        <w:rPr>
          <w:rFonts w:hint="eastAsia"/>
          <w:b/>
          <w:bCs/>
        </w:rPr>
        <w:t xml:space="preserve">强制结构化输出与Schema校验</w:t>
      </w:r>
      <w:r>
        <w:t xml:space="preserve"> </w:t>
      </w:r>
      <w:r>
        <w:rPr>
          <w:rFonts w:hint="eastAsia"/>
        </w:rPr>
        <w:t xml:space="preserve">：这是第一道防线。在第三章的提示词工程中，我们已经强调了引导模型生成JSON等结构化格式的重要性。在代码实现层面，必须进一步引入严格的Schema校验机制。例如，使用Python的</w:t>
      </w:r>
      <w:r>
        <w:rPr>
          <w:rStyle w:val="VerbatimChar"/>
        </w:rPr>
        <w:t xml:space="preserve">pydantic</w:t>
      </w:r>
      <w:r>
        <w:rPr>
          <w:rFonts w:hint="eastAsia"/>
        </w:rPr>
        <w:t xml:space="preserve">库或</w:t>
      </w:r>
      <w:r>
        <w:rPr>
          <w:rStyle w:val="VerbatimChar"/>
        </w:rPr>
        <w:t xml:space="preserve">jsonschema</w:t>
      </w:r>
      <w:r>
        <w:rPr>
          <w:rFonts w:hint="eastAsia"/>
        </w:rPr>
        <w:t xml:space="preserve">库，对模型返回的每一条交易信号进行格式验证。任何不符合预设Schema（如缺少关键字段、数值类型错误）的响应，都应被系统自动判定为无效，并触发预设的默认行为（如保持持仓）或告警，从而杜绝因格式错误导致的交易指令混乱。</w:t>
      </w:r>
    </w:p>
    <w:p>
      <w:pPr>
        <w:numPr>
          <w:ilvl w:val="0"/>
          <w:numId w:val="1013"/>
        </w:numPr>
      </w:pPr>
      <w:r>
        <w:rPr>
          <w:rFonts w:hint="eastAsia"/>
          <w:b/>
          <w:bCs/>
        </w:rPr>
        <w:t xml:space="preserve">引入独立的验证层</w:t>
      </w:r>
      <w:r>
        <w:t xml:space="preserve"> </w:t>
      </w:r>
      <w:r>
        <w:rPr>
          <w:rFonts w:hint="eastAsia"/>
        </w:rPr>
        <w:t xml:space="preserve">：这是第二道防线。对于通过格式校验的交易信号，系统不应盲目执行，而应将其提交给一个独立的、基于规则或传统量化模型的验证模块。该模块的核心任务是对AI的决策进行“</w:t>
      </w:r>
      <w:r>
        <w:t xml:space="preserve"> sanity </w:t>
      </w:r>
      <w:r>
        <w:rPr>
          <w:rFonts w:hint="eastAsia"/>
        </w:rPr>
        <w:t xml:space="preserve">check”。例如，当AI决策模块建议以极高的杠杆率买入某一资产时，验证层可以基于预设的风险阈值（如最大单笔亏损比例）或技术指标（如当前价格是否处于历史高位），判断该决策是否合理。如果验证层认为决策风险过高或逻辑不通，它可以否决该交易信号，要求AI模块重新生成建议，或直接将其标记为“待人工审核”。这种“人机协同”的验证机制，是当前利用AI进行高风险决策时，确保系统稳健性的最佳实践。</w:t>
      </w:r>
    </w:p>
    <w:bookmarkEnd w:id="44"/>
    <w:bookmarkStart w:id="45" w:name="财务挑战运营成本与盈利预期"/>
    <w:p>
      <w:pPr>
        <w:pStyle w:val="3"/>
      </w:pPr>
      <w:r>
        <w:t xml:space="preserve">6.2 </w:t>
      </w:r>
      <w:r>
        <w:rPr>
          <w:rFonts w:hint="eastAsia"/>
        </w:rPr>
        <w:t xml:space="preserve">财务挑战：运营成本与盈利预期</w:t>
      </w:r>
    </w:p>
    <w:p>
      <w:pPr>
        <w:pStyle w:val="FirstParagraph"/>
      </w:pPr>
      <w:r>
        <w:rPr>
          <w:rFonts w:hint="eastAsia"/>
        </w:rPr>
        <w:t xml:space="preserve">一个自动化交易系统的长期可行性，不仅取决于其技术的先进性，更取决于其财务模型的健康度。本项目的财务挑战主要源于两个方面：一是持续的、可预见的运营成本，二是基于历史回测的盈利预期与真实市场表现之间的巨大鸿沟。</w:t>
      </w:r>
    </w:p>
    <w:p>
      <w:pPr>
        <w:pStyle w:val="BodyText"/>
      </w:pPr>
      <w:r>
        <w:rPr>
          <w:rFonts w:hint="eastAsia"/>
        </w:rPr>
        <w:t xml:space="preserve">首先，我们需要构建一个清晰的成本估算框架，以量化项目的总拥有成本（Total</w:t>
      </w:r>
      <w:r>
        <w:t xml:space="preserve"> Cost of Ownership, </w:t>
      </w:r>
      <w:r>
        <w:rPr>
          <w:rFonts w:hint="eastAsia"/>
        </w:rPr>
        <w:t xml:space="preserve">TCO）。这包括但不限于：</w:t>
      </w:r>
    </w:p>
    <w:p>
      <w:pPr>
        <w:numPr>
          <w:ilvl w:val="0"/>
          <w:numId w:val="1014"/>
        </w:numPr>
      </w:pPr>
      <w:r>
        <w:rPr>
          <w:b/>
          <w:bCs/>
        </w:rPr>
        <w:t xml:space="preserve">DeepSeek </w:t>
      </w:r>
      <w:r>
        <w:rPr>
          <w:rFonts w:hint="eastAsia"/>
          <w:b/>
          <w:bCs/>
        </w:rPr>
        <w:t xml:space="preserve">API调用费</w:t>
      </w:r>
      <w:r>
        <w:t xml:space="preserve"> </w:t>
      </w:r>
      <w:r>
        <w:rPr>
          <w:rFonts w:hint="eastAsia"/>
        </w:rPr>
        <w:t xml:space="preserve">：这是最主要的可变成本。其费用基于输入和输出的tokens数量，且在非优惠时段价格不菲。高频交易策略将导致tokens消耗急剧增加，从而推高此项成本。</w:t>
      </w:r>
    </w:p>
    <w:p>
      <w:pPr>
        <w:numPr>
          <w:ilvl w:val="0"/>
          <w:numId w:val="1014"/>
        </w:numPr>
      </w:pPr>
      <w:r>
        <w:rPr>
          <w:rFonts w:hint="eastAsia"/>
          <w:b/>
          <w:bCs/>
        </w:rPr>
        <w:t xml:space="preserve">服务器与基础设施成本</w:t>
      </w:r>
      <w:r>
        <w:t xml:space="preserve"> </w:t>
      </w:r>
      <w:r>
        <w:rPr>
          <w:rFonts w:hint="eastAsia"/>
        </w:rPr>
        <w:t xml:space="preserve">：无论是云端服务器（如AWS、阿里云）还是本地私有化部署，都需要持续的硬件投入和维护费用。</w:t>
      </w:r>
    </w:p>
    <w:p>
      <w:pPr>
        <w:numPr>
          <w:ilvl w:val="0"/>
          <w:numId w:val="1014"/>
        </w:numPr>
      </w:pPr>
      <w:r>
        <w:rPr>
          <w:rFonts w:hint="eastAsia"/>
          <w:b/>
          <w:bCs/>
        </w:rPr>
        <w:t xml:space="preserve">数据订阅与采集成本</w:t>
      </w:r>
      <w:r>
        <w:t xml:space="preserve"> </w:t>
      </w:r>
      <w:r>
        <w:rPr>
          <w:rFonts w:hint="eastAsia"/>
        </w:rPr>
        <w:t xml:space="preserve">：除了GMGN平台，若需接入其他高质量的链上或市场数据，可能需要支付订阅费用。</w:t>
      </w:r>
    </w:p>
    <w:p>
      <w:pPr>
        <w:numPr>
          <w:ilvl w:val="0"/>
          <w:numId w:val="1014"/>
        </w:numPr>
      </w:pPr>
      <w:r>
        <w:rPr>
          <w:rFonts w:hint="eastAsia"/>
          <w:b/>
          <w:bCs/>
        </w:rPr>
        <w:t xml:space="preserve">交易所交易手续费</w:t>
      </w:r>
      <w:r>
        <w:t xml:space="preserve"> </w:t>
      </w:r>
      <w:r>
        <w:rPr>
          <w:rFonts w:hint="eastAsia"/>
        </w:rPr>
        <w:t xml:space="preserve">：每一笔交易都将产生手续费，这会侵蚀最终的利润。</w:t>
      </w:r>
    </w:p>
    <w:p>
      <w:pPr>
        <w:pStyle w:val="FirstParagraph"/>
      </w:pPr>
      <w:r>
        <w:rPr>
          <w:rFonts w:hint="eastAsia"/>
        </w:rPr>
        <w:t xml:space="preserve">其次，也是更为核心的挑战，在于盈利预期的评估。第五章中提到的历史回测，是验证策略有效性的重要手段，但它绝不能等同于真实的盈利预测。历史回测的结果往往是“后视偏差”（Hindsight</w:t>
      </w:r>
      <w:r>
        <w:t xml:space="preserve"> </w:t>
      </w:r>
      <w:r>
        <w:rPr>
          <w:rFonts w:hint="eastAsia"/>
        </w:rPr>
        <w:t xml:space="preserve">Bias）的产物，即基于已知的历史数据来优化策略，这在真实的、充满不确定性的市场中是无法复制的。因此，在项目启动前，必须对盈利前景抱有极度审慎和清醒的认识，避免做出任何不切实际的承诺。</w:t>
      </w:r>
    </w:p>
    <w:p>
      <w:pPr>
        <w:pStyle w:val="BodyText"/>
      </w:pPr>
      <w:r>
        <w:rPr>
          <w:rFonts w:hint="eastAsia"/>
        </w:rPr>
        <w:t xml:space="preserve">为应对财务挑战，我们提出以下缓解策略：</w:t>
      </w:r>
    </w:p>
    <w:p>
      <w:pPr>
        <w:numPr>
          <w:ilvl w:val="0"/>
          <w:numId w:val="1015"/>
        </w:numPr>
      </w:pPr>
      <w:r>
        <w:rPr>
          <w:rFonts w:hint="eastAsia"/>
          <w:b/>
          <w:bCs/>
        </w:rPr>
        <w:t xml:space="preserve">实施严格的成本控制与优化</w:t>
      </w:r>
      <w:r>
        <w:t xml:space="preserve"> </w:t>
      </w:r>
      <w:r>
        <w:rPr>
          <w:rFonts w:hint="eastAsia"/>
        </w:rPr>
        <w:t xml:space="preserve">：在API调用层面，可以借鉴金融科技领域的实践，通过异步批处理、多级缓存设计和动态速率限制等技术手段，显著降低API调用频率和成本。在硬件层面，选择性价比高的云服务方案或利用边缘计算资源，也能有效控制固定支出。</w:t>
      </w:r>
    </w:p>
    <w:p>
      <w:pPr>
        <w:numPr>
          <w:ilvl w:val="0"/>
          <w:numId w:val="1015"/>
        </w:numPr>
      </w:pPr>
      <w:r>
        <w:rPr>
          <w:rFonts w:hint="eastAsia"/>
          <w:b/>
          <w:bCs/>
        </w:rPr>
        <w:t xml:space="preserve">建立审慎的盈利模型</w:t>
      </w:r>
      <w:r>
        <w:t xml:space="preserve"> </w:t>
      </w:r>
      <w:r>
        <w:rPr>
          <w:rFonts w:hint="eastAsia"/>
        </w:rPr>
        <w:t xml:space="preserve">：将历史回测的盈利数据作为策略潜力的上限参考，而非盈利目标。在真实交易前，应设定一个极低的初始本金（如仅用于测试的小额资金），并在系统中强制设置一个严格的“熔断”机制，一旦累计亏损达到预设阈值（如5%），系统立即暂停所有交易，防止本金被过度侵蚀。</w:t>
      </w:r>
    </w:p>
    <w:bookmarkEnd w:id="45"/>
    <w:bookmarkStart w:id="46" w:name="法律与合规挑战全球监管的复杂性"/>
    <w:p>
      <w:pPr>
        <w:pStyle w:val="3"/>
      </w:pPr>
      <w:r>
        <w:t xml:space="preserve">6.3 </w:t>
      </w:r>
      <w:r>
        <w:rPr>
          <w:rFonts w:hint="eastAsia"/>
        </w:rPr>
        <w:t xml:space="preserve">法律与合规挑战：全球监管的复杂性</w:t>
      </w:r>
    </w:p>
    <w:p>
      <w:pPr>
        <w:pStyle w:val="FirstParagraph"/>
      </w:pPr>
      <w:r>
        <w:rPr>
          <w:rFonts w:hint="eastAsia"/>
        </w:rPr>
        <w:t xml:space="preserve">在技术与财务风险之外，法律与合规性是决定本项目能否在现实世界中安全、合法运行的基石。加密货币交易机器人的合法性并非一个全球性的统一标准，而是高度依赖于其运营所在的司法管辖区。忽视这一挑战，可能导致项目在取得技术成功后，因触及法律红线而被迫终止，甚至引发更严重的后果。</w:t>
      </w:r>
    </w:p>
    <w:p>
      <w:pPr>
        <w:pStyle w:val="BodyText"/>
      </w:pPr>
      <w:r>
        <w:rPr>
          <w:rFonts w:hint="eastAsia"/>
        </w:rPr>
        <w:t xml:space="preserve">全球主要国家和地区对加密货币交易机器人的监管态度存在显著差异。欧盟作为全球加密金融监管的先行者，通过了《加密资产市场法规》（MiCA），为市场参与者提供了相对明确的法律框架。MiCA法规允许使用交易机器人，但要求其操作必须符合市场滥用法规，严禁从事内幕交易和市场操纵等非法活动。在美国，证券交易委员会（SEC）和商品期货交易委员会（CFTC）是主要的监管机构，它们允许个人使用交易机器人，但同样强调其操作必须符合相关金融法规，不得从事非法市场操纵。</w:t>
      </w:r>
    </w:p>
    <w:p>
      <w:pPr>
        <w:pStyle w:val="BodyText"/>
      </w:pPr>
      <w:r>
        <w:rPr>
          <w:rFonts w:hint="eastAsia"/>
        </w:rPr>
        <w:t xml:space="preserve">然而，在中国境内，情况则完全不同。根据中国人民银行等多部门发布的相关法律法规，境内个人被明确禁止参与加密货币交易。这意味着，任何在中国境内开发或使用此类交易工具的行为，都将面临严峻的法律风险。</w:t>
      </w:r>
    </w:p>
    <w:p>
      <w:pPr>
        <w:pStyle w:val="BodyText"/>
      </w:pPr>
      <w:r>
        <w:rPr>
          <w:rFonts w:hint="eastAsia"/>
        </w:rPr>
        <w:t xml:space="preserve">由此可见，在项目启动前，进行一次全面的法律合规性审查是至关重要的。开发者必须明确自身的地理位置，并深入了解当地关于加密货币交易、自动化交易软件以及相关金融活动的具体法律规定。下表简要概述了全球主要司法管辖区的监管现状，以供参考。</w:t>
      </w:r>
    </w:p>
    <w:tbl>
      <w:tblPr>
        <w:tblStyle w:val="TableCustom"/>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rPr>
                <w:rFonts w:hint="eastAsia"/>
              </w:rPr>
              <w:t xml:space="preserve">国家/地区</w:t>
            </w:r>
          </w:p>
        </w:tc>
        <w:tc>
          <w:tcPr/>
          <w:p>
            <w:pPr>
              <w:pStyle w:val="Compact"/>
            </w:pPr>
            <w:r>
              <w:rPr>
                <w:rFonts w:hint="eastAsia"/>
              </w:rPr>
              <w:t xml:space="preserve">主要监管机构</w:t>
            </w:r>
          </w:p>
        </w:tc>
        <w:tc>
          <w:tcPr/>
          <w:p>
            <w:pPr>
              <w:pStyle w:val="Compact"/>
            </w:pPr>
            <w:r>
              <w:rPr>
                <w:rFonts w:hint="eastAsia"/>
              </w:rPr>
              <w:t xml:space="preserve">核心法规/框架</w:t>
            </w:r>
          </w:p>
        </w:tc>
        <w:tc>
          <w:tcPr/>
          <w:p>
            <w:pPr>
              <w:pStyle w:val="Compact"/>
            </w:pPr>
            <w:r>
              <w:rPr>
                <w:rFonts w:hint="eastAsia"/>
              </w:rPr>
              <w:t xml:space="preserve">对加密货币交易机器人的主要态度</w:t>
            </w:r>
          </w:p>
        </w:tc>
      </w:tr>
      <w:tr>
        <w:tc>
          <w:tcPr/>
          <w:p>
            <w:pPr>
              <w:pStyle w:val="Compact"/>
            </w:pPr>
            <w:r>
              <w:rPr>
                <w:rFonts w:hint="eastAsia"/>
              </w:rPr>
              <w:t xml:space="preserve">欧盟</w:t>
            </w:r>
            <w:r>
              <w:t xml:space="preserve"> (EU)</w:t>
            </w:r>
          </w:p>
        </w:tc>
        <w:tc>
          <w:tcPr/>
          <w:p>
            <w:pPr>
              <w:pStyle w:val="Compact"/>
            </w:pPr>
            <w:r>
              <w:rPr>
                <w:rFonts w:hint="eastAsia"/>
              </w:rPr>
              <w:t xml:space="preserve">欧洲证券和市场管理局</w:t>
            </w:r>
            <w:r>
              <w:t xml:space="preserve"> (ESMA)</w:t>
            </w:r>
          </w:p>
        </w:tc>
        <w:tc>
          <w:tcPr/>
          <w:p>
            <w:pPr>
              <w:pStyle w:val="Compact"/>
            </w:pPr>
            <w:r>
              <w:rPr>
                <w:rFonts w:hint="eastAsia"/>
              </w:rPr>
              <w:t xml:space="preserve">加密资产市场法规</w:t>
            </w:r>
            <w:r>
              <w:t xml:space="preserve"> (MiCA)</w:t>
            </w:r>
          </w:p>
        </w:tc>
        <w:tc>
          <w:tcPr/>
          <w:p>
            <w:pPr>
              <w:pStyle w:val="Compact"/>
            </w:pPr>
            <w:r>
              <w:rPr>
                <w:rFonts w:hint="eastAsia"/>
              </w:rPr>
              <w:t xml:space="preserve">允许使用，但需遵守市场滥用法规，如内幕交易和操纵市场的规定。</w:t>
            </w:r>
          </w:p>
        </w:tc>
      </w:tr>
      <w:tr>
        <w:tc>
          <w:tcPr/>
          <w:p>
            <w:pPr>
              <w:pStyle w:val="Compact"/>
            </w:pPr>
            <w:r>
              <w:rPr>
                <w:rFonts w:hint="eastAsia"/>
              </w:rPr>
              <w:t xml:space="preserve">美国</w:t>
            </w:r>
          </w:p>
        </w:tc>
        <w:tc>
          <w:tcPr/>
          <w:p>
            <w:pPr>
              <w:pStyle w:val="Compact"/>
            </w:pPr>
            <w:r>
              <w:rPr>
                <w:rFonts w:hint="eastAsia"/>
              </w:rPr>
              <w:t xml:space="preserve">证券交易委员会</w:t>
            </w:r>
            <w:r>
              <w:t xml:space="preserve"> </w:t>
            </w:r>
            <w:r>
              <w:rPr>
                <w:rFonts w:hint="eastAsia"/>
              </w:rPr>
              <w:t xml:space="preserve">(SEC)、商品期货交易委员会</w:t>
            </w:r>
            <w:r>
              <w:t xml:space="preserve"> (CFTC)</w:t>
            </w:r>
          </w:p>
        </w:tc>
        <w:tc>
          <w:tcPr/>
          <w:p>
            <w:pPr>
              <w:pStyle w:val="Compact"/>
            </w:pPr>
            <w:r>
              <w:rPr>
                <w:rFonts w:hint="eastAsia"/>
              </w:rPr>
              <w:t xml:space="preserve">证券法、商品交易法</w:t>
            </w:r>
          </w:p>
        </w:tc>
        <w:tc>
          <w:tcPr/>
          <w:p>
            <w:pPr>
              <w:pStyle w:val="Compact"/>
            </w:pPr>
            <w:r>
              <w:rPr>
                <w:rFonts w:hint="eastAsia"/>
              </w:rPr>
              <w:t xml:space="preserve">允许个人使用，但机器人的操作必须符合相关金融法规，不得从事非法市场操纵等活动。</w:t>
            </w:r>
          </w:p>
        </w:tc>
      </w:tr>
      <w:tr>
        <w:tc>
          <w:tcPr/>
          <w:p>
            <w:pPr>
              <w:pStyle w:val="Compact"/>
            </w:pPr>
            <w:r>
              <w:rPr>
                <w:rFonts w:hint="eastAsia"/>
              </w:rPr>
              <w:t xml:space="preserve">中国</w:t>
            </w:r>
          </w:p>
        </w:tc>
        <w:tc>
          <w:tcPr/>
          <w:p>
            <w:pPr>
              <w:pStyle w:val="Compact"/>
            </w:pPr>
            <w:r>
              <w:rPr>
                <w:rFonts w:hint="eastAsia"/>
              </w:rPr>
              <w:t xml:space="preserve">中国人民银行、中国证监会等</w:t>
            </w:r>
          </w:p>
        </w:tc>
        <w:tc>
          <w:tcPr/>
          <w:p>
            <w:pPr>
              <w:pStyle w:val="Compact"/>
            </w:pPr>
            <w:r>
              <w:rPr>
                <w:rFonts w:hint="eastAsia"/>
              </w:rPr>
              <w:t xml:space="preserve">相关法律法规（如《关于防范比特币风险的通知》）</w:t>
            </w:r>
          </w:p>
        </w:tc>
        <w:tc>
          <w:tcPr/>
          <w:p>
            <w:pPr>
              <w:pStyle w:val="Compact"/>
            </w:pPr>
            <w:r>
              <w:rPr>
                <w:rFonts w:hint="eastAsia"/>
              </w:rPr>
              <w:t xml:space="preserve">严格禁止，境内个人被禁止参与加密货币交易。</w:t>
            </w:r>
          </w:p>
        </w:tc>
      </w:tr>
    </w:tbl>
    <w:p>
      <w:pPr>
        <w:pStyle w:val="BodyText"/>
      </w:pPr>
      <w:r>
        <w:rPr>
          <w:rFonts w:hint="eastAsia"/>
          <w:i/>
          <w:iCs/>
        </w:rPr>
        <w:t xml:space="preserve">数据来源：根据公开信息整理</w:t>
      </w:r>
    </w:p>
    <w:p>
      <w:pPr>
        <w:pStyle w:val="BodyText"/>
      </w:pPr>
      <w:r>
        <w:rPr>
          <w:rFonts w:hint="eastAsia"/>
        </w:rPr>
        <w:t xml:space="preserve">综上所述，本项目的成功不仅是一次技术上的胜利，更是一次在风险管控、财务审慎和法律合规等多维度挑战下的成功。只有正视并有效应对这些挑战，我们的AI交易系统才能真正从一个理论构想，转变为一个稳健、可持续的投资工具。</w:t>
      </w:r>
    </w:p>
    <w:bookmarkEnd w:id="46"/>
    <w:bookmarkEnd w:id="47"/>
    <w:bookmarkStart w:id="51" w:name="结论与展望通往ai驱动自动化交易的可行路径与现实挑战"/>
    <w:p>
      <w:pPr>
        <w:pStyle w:val="2"/>
      </w:pPr>
      <w:r>
        <w:t xml:space="preserve">7. </w:t>
      </w:r>
      <w:r>
        <w:rPr>
          <w:rFonts w:hint="eastAsia"/>
        </w:rPr>
        <w:t xml:space="preserve">结论与展望：通往AI驱动自动化交易的可行路径与现实挑战</w:t>
      </w:r>
    </w:p>
    <w:p>
      <w:pPr>
        <w:pStyle w:val="FirstParagraph"/>
      </w:pPr>
      <w:r>
        <w:rPr>
          <w:rFonts w:hint="eastAsia"/>
        </w:rPr>
        <w:t xml:space="preserve">本报告系统性地探讨了基于DeepSeek</w:t>
      </w:r>
      <w:r>
        <w:t xml:space="preserve"> </w:t>
      </w:r>
      <w:r>
        <w:rPr>
          <w:rFonts w:hint="eastAsia"/>
        </w:rPr>
        <w:t xml:space="preserve">API与GMGN市场数据，为个人用户开发一个完全由AI驱动的加密货币自动化交易工具的可行性。通过对系统架构、核心技术、风险管理及潜在挑战的深入分析，我们旨在为该项目的开发与实施提供一份全面、务实的技术蓝图与风险评估。</w:t>
      </w:r>
    </w:p>
    <w:bookmarkStart w:id="48" w:name="核心发现技术可行性与架构优势"/>
    <w:p>
      <w:pPr>
        <w:pStyle w:val="3"/>
      </w:pPr>
      <w:r>
        <w:t xml:space="preserve">7.1 </w:t>
      </w:r>
      <w:r>
        <w:rPr>
          <w:rFonts w:hint="eastAsia"/>
        </w:rPr>
        <w:t xml:space="preserve">核心发现：技术可行性与架构优势</w:t>
      </w:r>
    </w:p>
    <w:p>
      <w:pPr>
        <w:pStyle w:val="FirstParagraph"/>
      </w:pPr>
      <w:r>
        <w:rPr>
          <w:rFonts w:hint="eastAsia"/>
        </w:rPr>
        <w:t xml:space="preserve">研究明确指出，构建一个完全依赖AI决策的自动化交易工具在技术上是可行的。其核心优势在于采用了分层、模块化的“管道-过滤器”架构，该设计将数据采集、特征工程、AI决策、风险管理、订单执行及监控等功能解耦，形成了清晰的数据流与独立的功能模块。这种架构不仅提升了系统的灵活性与可扩展性，使其能够适应未来更先进的AI模型与多样化的数据来源，也极大地降低了开发与维护的复杂性，为项目的长期演进奠定了坚实基础。</w:t>
      </w:r>
    </w:p>
    <w:bookmarkEnd w:id="48"/>
    <w:bookmarkStart w:id="49" w:name="关键挑战数据技术与合规的三重考验"/>
    <w:p>
      <w:pPr>
        <w:pStyle w:val="3"/>
      </w:pPr>
      <w:r>
        <w:t xml:space="preserve">7.2 </w:t>
      </w:r>
      <w:r>
        <w:rPr>
          <w:rFonts w:hint="eastAsia"/>
        </w:rPr>
        <w:t xml:space="preserve">关键挑战：数据、技术与合规的三重考验</w:t>
      </w:r>
    </w:p>
    <w:p>
      <w:pPr>
        <w:pStyle w:val="FirstParagraph"/>
      </w:pPr>
      <w:r>
        <w:rPr>
          <w:rFonts w:hint="eastAsia"/>
        </w:rPr>
        <w:t xml:space="preserve">尽管技术架构清晰可行，但项目的成功落地仍面临着来自数据、技术和合规三个维度的严峻挑战。</w:t>
      </w:r>
    </w:p>
    <w:p>
      <w:pPr>
        <w:pStyle w:val="BodyText"/>
      </w:pPr>
      <w:r>
        <w:rPr>
          <w:rFonts w:hint="eastAsia"/>
        </w:rPr>
        <w:t xml:space="preserve">首先，在</w:t>
      </w:r>
      <w:r>
        <w:t xml:space="preserve"> </w:t>
      </w:r>
      <w:r>
        <w:rPr>
          <w:rFonts w:hint="eastAsia"/>
          <w:b/>
          <w:bCs/>
        </w:rPr>
        <w:t xml:space="preserve">数据层面</w:t>
      </w:r>
      <w:r>
        <w:t xml:space="preserve"> </w:t>
      </w:r>
      <w:r>
        <w:rPr>
          <w:rFonts w:hint="eastAsia"/>
        </w:rPr>
        <w:t xml:space="preserve">，单一依赖GMGN平台存在显著风险。GMGN的数据能力虽能提供独特的链上洞察，但其商业模式高度依赖市场繁荣，历史收入的剧烈波动警示我们，其数据服务的稳定性与持续性无法得到长期保障。因此，构建一个多元化、高可靠性的数据源体系是项目规避数据风险的首要前提。</w:t>
      </w:r>
    </w:p>
    <w:p>
      <w:pPr>
        <w:pStyle w:val="BodyText"/>
      </w:pPr>
      <w:r>
        <w:rPr>
          <w:rFonts w:hint="eastAsia"/>
        </w:rPr>
        <w:t xml:space="preserve">其次，在</w:t>
      </w:r>
      <w:r>
        <w:t xml:space="preserve"> </w:t>
      </w:r>
      <w:r>
        <w:rPr>
          <w:rFonts w:hint="eastAsia"/>
          <w:b/>
          <w:bCs/>
        </w:rPr>
        <w:t xml:space="preserve">技术层面</w:t>
      </w:r>
      <w:r>
        <w:t xml:space="preserve"> </w:t>
      </w:r>
      <w:r>
        <w:rPr>
          <w:rFonts w:hint="eastAsia"/>
        </w:rPr>
        <w:t xml:space="preserve">，大型语言模型（LLM）固有的随机性与“幻觉”问题是核心瓶颈。AI决策的质量并非由模型性能完全决定，而高度依赖于提示词工程的精细化设计。同时，必须建立严格的输出校验与人机协同验证机制，以应对LLM可能产生的格式错误或非理性决策，这是保障系统稳健运行的关键防线。</w:t>
      </w:r>
    </w:p>
    <w:p>
      <w:pPr>
        <w:pStyle w:val="BodyText"/>
      </w:pPr>
      <w:r>
        <w:rPr>
          <w:rFonts w:hint="eastAsia"/>
        </w:rPr>
        <w:t xml:space="preserve">最后，在</w:t>
      </w:r>
      <w:r>
        <w:t xml:space="preserve"> </w:t>
      </w:r>
      <w:r>
        <w:rPr>
          <w:rFonts w:hint="eastAsia"/>
          <w:b/>
          <w:bCs/>
        </w:rPr>
        <w:t xml:space="preserve">合规层面</w:t>
      </w:r>
      <w:r>
        <w:t xml:space="preserve"> </w:t>
      </w:r>
      <w:r>
        <w:rPr>
          <w:rFonts w:hint="eastAsia"/>
        </w:rPr>
        <w:t xml:space="preserve">，全球对加密货币交易机器人的监管环境复杂且差异巨大。开发者必须在项目启动前，对自身所在司法管辖区的法律法规进行全面审查，确保项目的开发与使用符合当地规定，避免因合规问题导致的系统性风险。</w:t>
      </w:r>
    </w:p>
    <w:bookmarkEnd w:id="49"/>
    <w:bookmarkStart w:id="50" w:name="结论与展望审慎前行聚焦核心价值"/>
    <w:p>
      <w:pPr>
        <w:pStyle w:val="3"/>
      </w:pPr>
      <w:r>
        <w:t xml:space="preserve">7.3 </w:t>
      </w:r>
      <w:r>
        <w:rPr>
          <w:rFonts w:hint="eastAsia"/>
        </w:rPr>
        <w:t xml:space="preserve">结论与展望：审慎前行，聚焦核心价值</w:t>
      </w:r>
    </w:p>
    <w:p>
      <w:pPr>
        <w:pStyle w:val="FirstParagraph"/>
      </w:pPr>
      <w:r>
        <w:rPr>
          <w:rFonts w:hint="eastAsia"/>
        </w:rPr>
        <w:t xml:space="preserve">综合全文分析，我们得出以下结论：</w:t>
      </w:r>
      <w:r>
        <w:t xml:space="preserve"> </w:t>
      </w:r>
      <w:r>
        <w:rPr>
          <w:rFonts w:hint="eastAsia"/>
          <w:b/>
          <w:bCs/>
        </w:rPr>
        <w:t xml:space="preserve">本项目是一个极具挑战性与探索价值的技术实践，其成功与否高度依赖于对上述多重挑战的系统性应对，而非单纯的技术实现。</w:t>
      </w:r>
    </w:p>
    <w:p>
      <w:pPr>
        <w:pStyle w:val="BodyText"/>
      </w:pPr>
      <w:r>
        <w:rPr>
          <w:rFonts w:hint="eastAsia"/>
        </w:rPr>
        <w:t xml:space="preserve">基于此，我们提出以下最终建议：</w:t>
      </w:r>
    </w:p>
    <w:p>
      <w:pPr>
        <w:numPr>
          <w:ilvl w:val="0"/>
          <w:numId w:val="1016"/>
        </w:numPr>
      </w:pPr>
      <w:r>
        <w:rPr>
          <w:rFonts w:hint="eastAsia"/>
          <w:b/>
          <w:bCs/>
        </w:rPr>
        <w:t xml:space="preserve">坚持“业余兴趣探索”的务实定位</w:t>
      </w:r>
      <w:r>
        <w:t xml:space="preserve"> </w:t>
      </w:r>
      <w:r>
        <w:rPr>
          <w:rFonts w:hint="eastAsia"/>
        </w:rPr>
        <w:t xml:space="preserve">：将项目视为一次深度的技术学习与实践机会，而非追求短期盈利的商业工具。这种定位有助于开发者以更冷静、更长期的视角进行迭代，专注于验证AI决策逻辑与风险管理策略的有效性。</w:t>
      </w:r>
    </w:p>
    <w:p>
      <w:pPr>
        <w:numPr>
          <w:ilvl w:val="0"/>
          <w:numId w:val="1016"/>
        </w:numPr>
      </w:pPr>
      <w:r>
        <w:rPr>
          <w:rFonts w:hint="eastAsia"/>
          <w:b/>
          <w:bCs/>
        </w:rPr>
        <w:t xml:space="preserve">将核心资源聚焦于AI决策与风险管理</w:t>
      </w:r>
      <w:r>
        <w:t xml:space="preserve"> </w:t>
      </w:r>
      <w:r>
        <w:rPr>
          <w:rFonts w:hint="eastAsia"/>
        </w:rPr>
        <w:t xml:space="preserve">：在系统实现过程中，应充分利用开源社区的成熟框架（如第五章所述）来加速基础模块的搭建。将主要精力和开发资源投入到最具差异化和决定性的部分——即如何通过卓越的提示词工程引导AI做出高质量决策，以及如何设计并实现一个严密、自适应的风险管理体系。</w:t>
      </w:r>
    </w:p>
    <w:p>
      <w:pPr>
        <w:numPr>
          <w:ilvl w:val="0"/>
          <w:numId w:val="1016"/>
        </w:numPr>
      </w:pPr>
      <w:r>
        <w:rPr>
          <w:rFonts w:hint="eastAsia"/>
          <w:b/>
          <w:bCs/>
        </w:rPr>
        <w:t xml:space="preserve">建立全面的风险评估与缓解框架</w:t>
      </w:r>
      <w:r>
        <w:t xml:space="preserve"> </w:t>
      </w:r>
      <w:r>
        <w:rPr>
          <w:rFonts w:hint="eastAsia"/>
        </w:rPr>
        <w:t xml:space="preserve">：在项目启动前，必须完成对数据、技术、财务及合规风险的全面量化评估，并制定相应的缓解策略。例如，建立多元化的数据采集通道以应对单一数据源的中断风险；实施严格的成本控制与熔断机制以管理财务风险；并确保所有操作均在法律允许的框架内进行。</w:t>
      </w:r>
    </w:p>
    <w:p>
      <w:pPr>
        <w:pStyle w:val="FirstParagraph"/>
      </w:pPr>
      <w:r>
        <w:rPr>
          <w:rFonts w:hint="eastAsia"/>
        </w:rPr>
        <w:t xml:space="preserve">展望未来，随着大型语言模型技术的持续演进和金融监管环境的逐步明朗，AI在量化交易领域的应用将展现出巨大的潜力。本项目的探索，不仅是对前沿技术的一次实践，更是为未来更智能、更合规的自动化交易工具的诞生，积累宝贵的经验与洞察。</w:t>
      </w:r>
    </w:p>
    <w:p>
      <w:pPr>
        <w:pStyle w:val="BodyText"/>
      </w:pPr>
      <w:r>
        <w:rPr>
          <w:rFonts w:hint="eastAsia"/>
          <w:b/>
          <w:bCs/>
        </w:rPr>
        <w:t xml:space="preserve">内容由AI生成</w:t>
      </w:r>
    </w:p>
    <w:bookmarkEnd w:id="50"/>
    <w:bookmarkEnd w:id="51"/>
    <w:bookmarkEnd w:id="52"/>
    <w:sectPr w:rsidR="00684CBC" w:rsidRPr="00F741A4" w:rsidSect="008E63A1">
      <w:headerReference r:id="rId9" w:type="even"/>
      <w:headerReference r:id="rId11" w:type="default"/>
      <w:footerReference r:id="rId14" w:type="even"/>
      <w:footerReference r:id="rId13" w:type="default"/>
      <w:headerReference r:id="rId10" w:type="first"/>
      <w:footerReference r:id="rId12" w:type="first"/>
      <w:pgSz w:code="9" w:h="16838" w:w="11906"/>
      <w:pgMar w:bottom="1440" w:footer="992" w:gutter="0" w:header="777" w:left="1797" w:right="1797" w:top="1312"/>
      <w:cols w:space="425"/>
      <w:docGrid w:linePitch="3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5D889" w14:textId="77777777" w:rsidR="00152B8F" w:rsidRDefault="00152B8F">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6699D" w14:textId="0B280E03" w:rsidR="000102B5" w:rsidRDefault="000102B5" w:rsidP="000102B5">
    <w:pPr>
      <w:pStyle w:val="aa"/>
      <w:jc w:val="center"/>
    </w:pPr>
    <w:r>
      <w:rPr>
        <w:rFonts w:hint="eastAsia"/>
      </w:rPr>
      <w:t>内容由</w:t>
    </w:r>
    <w:r>
      <w:rPr>
        <w:rFonts w:hint="eastAsia"/>
      </w:rPr>
      <w:t>AI</w:t>
    </w:r>
    <w:r>
      <w:rPr>
        <w:rFonts w:hint="eastAsia"/>
      </w:rPr>
      <w:t>生成</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9C6A2" w14:textId="77777777" w:rsidR="00152B8F" w:rsidRDefault="00152B8F">
    <w:pPr>
      <w:pStyle w:val="aa"/>
      <w:ind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E5B62" w14:textId="77777777" w:rsidR="00152B8F" w:rsidRDefault="00152B8F">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02906" w14:textId="77777777" w:rsidR="00CA0E00" w:rsidRDefault="00CA0E00">
    <w:pPr>
      <w:pStyle w:val="ac"/>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A6BED" w14:textId="77777777" w:rsidR="00152B8F" w:rsidRDefault="00152B8F">
    <w:pPr>
      <w:pStyle w:val="ac"/>
      <w:ind w:firstLine="360"/>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A3D7723"/>
    <w:multiLevelType w:val="multilevel"/>
    <w:tmpl w:val="B3D0C476"/>
    <w:lvl w:ilvl="0">
      <w:start w:val="1"/>
      <w:numFmt w:val="decimal"/>
      <w:lvlText w:val="%1"/>
      <w:lvlJc w:val="left"/>
      <w:pPr>
        <w:tabs>
          <w:tab w:pos="432" w:val="num"/>
        </w:tabs>
        <w:ind w:hanging="432" w:left="432"/>
      </w:pPr>
      <w:rPr>
        <w:rFonts w:hint="eastAsia"/>
      </w:rPr>
    </w:lvl>
    <w:lvl w:ilvl="1">
      <w:start w:val="1"/>
      <w:numFmt w:val="decimal"/>
      <w:lvlText w:val="%1.%2"/>
      <w:lvlJc w:val="left"/>
      <w:pPr>
        <w:tabs>
          <w:tab w:pos="576" w:val="num"/>
        </w:tabs>
        <w:ind w:hanging="576" w:left="576"/>
      </w:pPr>
      <w:rPr>
        <w:rFonts w:hint="eastAsia"/>
      </w:rPr>
    </w:lvl>
    <w:lvl w:ilvl="2">
      <w:start w:val="1"/>
      <w:numFmt w:val="decimal"/>
      <w:lvlText w:val="%1.%2.%3"/>
      <w:lvlJc w:val="left"/>
      <w:pPr>
        <w:tabs>
          <w:tab w:pos="720" w:val="num"/>
        </w:tabs>
        <w:ind w:hanging="720" w:left="720"/>
      </w:pPr>
      <w:rPr>
        <w:rFonts w:hint="eastAsia"/>
      </w:rPr>
    </w:lvl>
    <w:lvl w:ilvl="3">
      <w:start w:val="1"/>
      <w:numFmt w:val="decimal"/>
      <w:lvlText w:val="%4."/>
      <w:lvlJc w:val="left"/>
      <w:pPr>
        <w:tabs>
          <w:tab w:pos="567" w:val="num"/>
        </w:tabs>
        <w:ind w:hanging="680" w:left="936"/>
      </w:pPr>
      <w:rPr>
        <w:rFonts w:hint="eastAsia"/>
      </w:rPr>
    </w:lvl>
    <w:lvl w:ilvl="4">
      <w:start w:val="1"/>
      <w:numFmt w:val="decimal"/>
      <w:lvlText w:val="%5）"/>
      <w:lvlJc w:val="left"/>
      <w:pPr>
        <w:tabs>
          <w:tab w:pos="567" w:val="num"/>
        </w:tabs>
        <w:ind w:hanging="680" w:left="936"/>
      </w:pPr>
      <w:rPr>
        <w:rFonts w:hint="eastAsia"/>
      </w:rPr>
    </w:lvl>
    <w:lvl w:ilvl="5">
      <w:start w:val="1"/>
      <w:numFmt w:val="lowerLetter"/>
      <w:lvlText w:val="%6）"/>
      <w:lvlJc w:val="left"/>
      <w:pPr>
        <w:tabs>
          <w:tab w:pos="567" w:val="num"/>
        </w:tabs>
        <w:ind w:hanging="680" w:left="936"/>
      </w:pPr>
      <w:rPr>
        <w:rFonts w:hint="eastAsia"/>
      </w:rPr>
    </w:lvl>
    <w:lvl w:ilvl="6">
      <w:start w:val="1"/>
      <w:numFmt w:val="lowerRoman"/>
      <w:lvlText w:val="%7"/>
      <w:lvlJc w:val="left"/>
      <w:pPr>
        <w:tabs>
          <w:tab w:pos="567" w:val="num"/>
        </w:tabs>
        <w:ind w:hanging="680" w:left="936"/>
      </w:pPr>
      <w:rPr>
        <w:rFonts w:hint="default"/>
      </w:rPr>
    </w:lvl>
    <w:lvl w:ilvl="7">
      <w:start w:val="1"/>
      <w:numFmt w:val="decimal"/>
      <w:lvlText w:val="%1.%2.%3.%4.%5.%6.%7.%8"/>
      <w:lvlJc w:val="left"/>
      <w:pPr>
        <w:tabs>
          <w:tab w:pos="1440" w:val="num"/>
        </w:tabs>
        <w:ind w:hanging="1440" w:left="1440"/>
      </w:pPr>
      <w:rPr>
        <w:rFonts w:hint="eastAsia"/>
      </w:rPr>
    </w:lvl>
    <w:lvl w:ilvl="8">
      <w:start w:val="1"/>
      <w:numFmt w:val="decimal"/>
      <w:lvlText w:val="%1.%2.%3.%4.%5.%6.%7.%8.%9"/>
      <w:lvlJc w:val="left"/>
      <w:pPr>
        <w:tabs>
          <w:tab w:pos="1584" w:val="num"/>
        </w:tabs>
        <w:ind w:hanging="1584" w:left="1584"/>
      </w:pPr>
      <w:rPr>
        <w:rFonts w:hint="eastAsia"/>
      </w:rPr>
    </w:lvl>
  </w:abstractNum>
  <w:abstractNum w15:restartNumberingAfterBreak="0" w:abstractNumId="1">
    <w:nsid w:val="0B6C50F0"/>
    <w:multiLevelType w:val="multilevel"/>
    <w:tmpl w:val="149ADA52"/>
    <w:lvl w:ilvl="0">
      <w:start w:val="1"/>
      <w:numFmt w:val="upperLetter"/>
      <w:lvlText w:val="附录%1"/>
      <w:lvlJc w:val="left"/>
      <w:pPr>
        <w:tabs>
          <w:tab w:pos="1283" w:val="num"/>
        </w:tabs>
        <w:ind w:hanging="432" w:left="1283"/>
      </w:pPr>
      <w:rPr>
        <w:rFonts w:hint="eastAsia"/>
      </w:rPr>
    </w:lvl>
    <w:lvl w:ilvl="1">
      <w:start w:val="1"/>
      <w:numFmt w:val="decimal"/>
      <w:lvlText w:val="%1.%2"/>
      <w:lvlJc w:val="left"/>
      <w:pPr>
        <w:tabs>
          <w:tab w:pos="1427" w:val="num"/>
        </w:tabs>
        <w:ind w:hanging="576" w:left="1427"/>
      </w:pPr>
      <w:rPr>
        <w:rFonts w:hint="eastAsia"/>
      </w:rPr>
    </w:lvl>
    <w:lvl w:ilvl="2">
      <w:start w:val="1"/>
      <w:numFmt w:val="decimal"/>
      <w:lvlText w:val="%1.%2.%3"/>
      <w:lvlJc w:val="left"/>
      <w:pPr>
        <w:tabs>
          <w:tab w:pos="1571" w:val="num"/>
        </w:tabs>
        <w:ind w:hanging="720" w:left="1571"/>
      </w:pPr>
      <w:rPr>
        <w:rFonts w:hint="eastAsia"/>
      </w:rPr>
    </w:lvl>
    <w:lvl w:ilvl="3">
      <w:start w:val="1"/>
      <w:numFmt w:val="decimal"/>
      <w:lvlText w:val="%4."/>
      <w:lvlJc w:val="left"/>
      <w:pPr>
        <w:tabs>
          <w:tab w:pos="1418" w:val="num"/>
        </w:tabs>
        <w:ind w:hanging="680" w:left="1787"/>
      </w:pPr>
      <w:rPr>
        <w:rFonts w:hint="eastAsia"/>
      </w:rPr>
    </w:lvl>
    <w:lvl w:ilvl="4">
      <w:start w:val="1"/>
      <w:numFmt w:val="decimal"/>
      <w:lvlText w:val="%5）"/>
      <w:lvlJc w:val="left"/>
      <w:pPr>
        <w:tabs>
          <w:tab w:pos="1418" w:val="num"/>
        </w:tabs>
        <w:ind w:hanging="680" w:left="1787"/>
      </w:pPr>
      <w:rPr>
        <w:rFonts w:hint="eastAsia"/>
      </w:rPr>
    </w:lvl>
    <w:lvl w:ilvl="5">
      <w:start w:val="1"/>
      <w:numFmt w:val="lowerLetter"/>
      <w:lvlText w:val="%6）"/>
      <w:lvlJc w:val="left"/>
      <w:pPr>
        <w:tabs>
          <w:tab w:pos="1418" w:val="num"/>
        </w:tabs>
        <w:ind w:hanging="680" w:left="1787"/>
      </w:pPr>
      <w:rPr>
        <w:rFonts w:hint="eastAsia"/>
      </w:rPr>
    </w:lvl>
    <w:lvl w:ilvl="6">
      <w:start w:val="1"/>
      <w:numFmt w:val="lowerRoman"/>
      <w:lvlText w:val="%7"/>
      <w:lvlJc w:val="left"/>
      <w:pPr>
        <w:tabs>
          <w:tab w:pos="1418" w:val="num"/>
        </w:tabs>
        <w:ind w:hanging="680" w:left="1787"/>
      </w:pPr>
      <w:rPr>
        <w:rFonts w:hint="default"/>
      </w:rPr>
    </w:lvl>
    <w:lvl w:ilvl="7">
      <w:start w:val="1"/>
      <w:numFmt w:val="decimal"/>
      <w:lvlText w:val="%1.%2.%3.%4.%5.%6.%7.%8"/>
      <w:lvlJc w:val="left"/>
      <w:pPr>
        <w:tabs>
          <w:tab w:pos="2291" w:val="num"/>
        </w:tabs>
        <w:ind w:hanging="1440" w:left="2291"/>
      </w:pPr>
      <w:rPr>
        <w:rFonts w:hint="eastAsia"/>
      </w:rPr>
    </w:lvl>
    <w:lvl w:ilvl="8">
      <w:start w:val="1"/>
      <w:numFmt w:val="decimal"/>
      <w:lvlText w:val="%1.%2.%3.%4.%5.%6.%7.%8.%9"/>
      <w:lvlJc w:val="left"/>
      <w:pPr>
        <w:tabs>
          <w:tab w:pos="2435" w:val="num"/>
        </w:tabs>
        <w:ind w:hanging="1584" w:left="2435"/>
      </w:pPr>
      <w:rPr>
        <w:rFonts w:hint="eastAsia"/>
      </w:rPr>
    </w:lvl>
  </w:abstractNum>
  <w:abstractNum w15:restartNumberingAfterBreak="0" w:abstractNumId="2">
    <w:nsid w:val="20453EF0"/>
    <w:multiLevelType w:val="multilevel"/>
    <w:tmpl w:val="F126062C"/>
    <w:lvl w:ilvl="0">
      <w:start w:val="1"/>
      <w:numFmt w:val="upperLetter"/>
      <w:lvlText w:val="附录%1"/>
      <w:lvlJc w:val="left"/>
      <w:pPr>
        <w:tabs>
          <w:tab w:pos="432" w:val="num"/>
        </w:tabs>
        <w:ind w:hanging="432" w:left="432"/>
      </w:pPr>
      <w:rPr>
        <w:rFonts w:hint="eastAsia"/>
      </w:rPr>
    </w:lvl>
    <w:lvl w:ilvl="1">
      <w:start w:val="1"/>
      <w:numFmt w:val="decimal"/>
      <w:lvlText w:val="%1.%2"/>
      <w:lvlJc w:val="left"/>
      <w:pPr>
        <w:tabs>
          <w:tab w:pos="576" w:val="num"/>
        </w:tabs>
        <w:ind w:hanging="576" w:left="576"/>
      </w:pPr>
      <w:rPr>
        <w:rFonts w:hint="eastAsia"/>
      </w:rPr>
    </w:lvl>
    <w:lvl w:ilvl="2">
      <w:start w:val="1"/>
      <w:numFmt w:val="decimal"/>
      <w:lvlText w:val="%1.%2.%3"/>
      <w:lvlJc w:val="left"/>
      <w:pPr>
        <w:tabs>
          <w:tab w:pos="720" w:val="num"/>
        </w:tabs>
        <w:ind w:hanging="720" w:left="720"/>
      </w:pPr>
      <w:rPr>
        <w:rFonts w:hint="eastAsia"/>
      </w:rPr>
    </w:lvl>
    <w:lvl w:ilvl="3">
      <w:start w:val="1"/>
      <w:numFmt w:val="decimal"/>
      <w:lvlText w:val="%4."/>
      <w:lvlJc w:val="left"/>
      <w:pPr>
        <w:tabs>
          <w:tab w:pos="567" w:val="num"/>
        </w:tabs>
        <w:ind w:hanging="680" w:left="936"/>
      </w:pPr>
      <w:rPr>
        <w:rFonts w:hint="eastAsia"/>
      </w:rPr>
    </w:lvl>
    <w:lvl w:ilvl="4">
      <w:start w:val="1"/>
      <w:numFmt w:val="decimal"/>
      <w:lvlText w:val="%5）"/>
      <w:lvlJc w:val="left"/>
      <w:pPr>
        <w:tabs>
          <w:tab w:pos="567" w:val="num"/>
        </w:tabs>
        <w:ind w:hanging="680" w:left="936"/>
      </w:pPr>
      <w:rPr>
        <w:rFonts w:hint="eastAsia"/>
      </w:rPr>
    </w:lvl>
    <w:lvl w:ilvl="5">
      <w:start w:val="1"/>
      <w:numFmt w:val="lowerLetter"/>
      <w:lvlText w:val="%6）"/>
      <w:lvlJc w:val="left"/>
      <w:pPr>
        <w:tabs>
          <w:tab w:pos="567" w:val="num"/>
        </w:tabs>
        <w:ind w:hanging="680" w:left="936"/>
      </w:pPr>
      <w:rPr>
        <w:rFonts w:hint="eastAsia"/>
      </w:rPr>
    </w:lvl>
    <w:lvl w:ilvl="6">
      <w:start w:val="1"/>
      <w:numFmt w:val="lowerRoman"/>
      <w:lvlText w:val="%7"/>
      <w:lvlJc w:val="left"/>
      <w:pPr>
        <w:tabs>
          <w:tab w:pos="567" w:val="num"/>
        </w:tabs>
        <w:ind w:hanging="680" w:left="936"/>
      </w:pPr>
      <w:rPr>
        <w:rFonts w:hint="default"/>
      </w:rPr>
    </w:lvl>
    <w:lvl w:ilvl="7">
      <w:start w:val="1"/>
      <w:numFmt w:val="decimal"/>
      <w:lvlText w:val="%1.%2.%3.%4.%5.%6.%7.%8"/>
      <w:lvlJc w:val="left"/>
      <w:pPr>
        <w:tabs>
          <w:tab w:pos="1440" w:val="num"/>
        </w:tabs>
        <w:ind w:hanging="1440" w:left="1440"/>
      </w:pPr>
      <w:rPr>
        <w:rFonts w:hint="eastAsia"/>
      </w:rPr>
    </w:lvl>
    <w:lvl w:ilvl="8">
      <w:start w:val="1"/>
      <w:numFmt w:val="decimal"/>
      <w:lvlText w:val="%1.%2.%3.%4.%5.%6.%7.%8.%9"/>
      <w:lvlJc w:val="left"/>
      <w:pPr>
        <w:tabs>
          <w:tab w:pos="1584" w:val="num"/>
        </w:tabs>
        <w:ind w:hanging="1584" w:left="1584"/>
      </w:pPr>
      <w:rPr>
        <w:rFonts w:hint="eastAsia"/>
      </w:rPr>
    </w:lvl>
  </w:abstractNum>
  <w:abstractNum w15:restartNumberingAfterBreak="0" w:abstractNumId="3">
    <w:nsid w:val="30C821AA"/>
    <w:multiLevelType w:val="multilevel"/>
    <w:tmpl w:val="502AD776"/>
    <w:lvl w:ilvl="0">
      <w:start w:val="1"/>
      <w:numFmt w:val="decimal"/>
      <w:lvlText w:val="%1"/>
      <w:lvlJc w:val="left"/>
      <w:pPr>
        <w:tabs>
          <w:tab w:pos="432" w:val="num"/>
        </w:tabs>
        <w:ind w:hanging="432" w:left="432"/>
      </w:pPr>
      <w:rPr>
        <w:rFonts w:hint="eastAsia"/>
      </w:rPr>
    </w:lvl>
    <w:lvl w:ilvl="1">
      <w:start w:val="1"/>
      <w:numFmt w:val="decimal"/>
      <w:lvlText w:val="%1.%2"/>
      <w:lvlJc w:val="left"/>
      <w:pPr>
        <w:tabs>
          <w:tab w:pos="576" w:val="num"/>
        </w:tabs>
        <w:ind w:hanging="576" w:left="576"/>
      </w:pPr>
      <w:rPr>
        <w:rFonts w:hint="eastAsia"/>
      </w:rPr>
    </w:lvl>
    <w:lvl w:ilvl="2">
      <w:start w:val="1"/>
      <w:numFmt w:val="decimal"/>
      <w:lvlText w:val="%1.%2.%3"/>
      <w:lvlJc w:val="left"/>
      <w:pPr>
        <w:tabs>
          <w:tab w:pos="720" w:val="num"/>
        </w:tabs>
        <w:ind w:hanging="720" w:left="720"/>
      </w:pPr>
      <w:rPr>
        <w:rFonts w:hint="eastAsia"/>
      </w:rPr>
    </w:lvl>
    <w:lvl w:ilvl="3">
      <w:start w:val="1"/>
      <w:numFmt w:val="decimal"/>
      <w:lvlText w:val="%4."/>
      <w:lvlJc w:val="left"/>
      <w:pPr>
        <w:tabs>
          <w:tab w:pos="567" w:val="num"/>
        </w:tabs>
        <w:ind w:hanging="680" w:left="936"/>
      </w:pPr>
      <w:rPr>
        <w:rFonts w:hint="eastAsia"/>
      </w:rPr>
    </w:lvl>
    <w:lvl w:ilvl="4">
      <w:start w:val="1"/>
      <w:numFmt w:val="decimal"/>
      <w:lvlText w:val="%5）"/>
      <w:lvlJc w:val="left"/>
      <w:pPr>
        <w:tabs>
          <w:tab w:pos="567" w:val="num"/>
        </w:tabs>
        <w:ind w:hanging="680" w:left="936"/>
      </w:pPr>
      <w:rPr>
        <w:rFonts w:hint="eastAsia"/>
      </w:rPr>
    </w:lvl>
    <w:lvl w:ilvl="5">
      <w:start w:val="1"/>
      <w:numFmt w:val="lowerLetter"/>
      <w:lvlText w:val="%6）"/>
      <w:lvlJc w:val="left"/>
      <w:pPr>
        <w:tabs>
          <w:tab w:pos="567" w:val="num"/>
        </w:tabs>
        <w:ind w:hanging="680" w:left="936"/>
      </w:pPr>
      <w:rPr>
        <w:rFonts w:hint="eastAsia"/>
      </w:rPr>
    </w:lvl>
    <w:lvl w:ilvl="6">
      <w:start w:val="1"/>
      <w:numFmt w:val="lowerRoman"/>
      <w:lvlText w:val="%7"/>
      <w:lvlJc w:val="left"/>
      <w:pPr>
        <w:tabs>
          <w:tab w:pos="567" w:val="num"/>
        </w:tabs>
        <w:ind w:hanging="680" w:left="936"/>
      </w:pPr>
      <w:rPr>
        <w:rFonts w:hint="default"/>
      </w:rPr>
    </w:lvl>
    <w:lvl w:ilvl="7">
      <w:start w:val="1"/>
      <w:numFmt w:val="decimal"/>
      <w:lvlText w:val="%1.%2.%3.%4.%5.%6.%7.%8"/>
      <w:lvlJc w:val="left"/>
      <w:pPr>
        <w:tabs>
          <w:tab w:pos="1440" w:val="num"/>
        </w:tabs>
        <w:ind w:hanging="1440" w:left="1440"/>
      </w:pPr>
      <w:rPr>
        <w:rFonts w:hint="eastAsia"/>
      </w:rPr>
    </w:lvl>
    <w:lvl w:ilvl="8">
      <w:start w:val="1"/>
      <w:numFmt w:val="decimal"/>
      <w:lvlText w:val="%1.%2.%3.%4.%5.%6.%7.%8.%9"/>
      <w:lvlJc w:val="left"/>
      <w:pPr>
        <w:tabs>
          <w:tab w:pos="1584" w:val="num"/>
        </w:tabs>
        <w:ind w:hanging="1584" w:left="1584"/>
      </w:pPr>
      <w:rPr>
        <w:rFonts w:hint="eastAsia"/>
      </w:rPr>
    </w:lvl>
  </w:abstractNum>
  <w:abstractNum w15:restartNumberingAfterBreak="0" w:abstractNumId="4">
    <w:nsid w:val="32006540"/>
    <w:multiLevelType w:val="multilevel"/>
    <w:tmpl w:val="CF207EC2"/>
    <w:lvl w:ilvl="0">
      <w:start w:val="1"/>
      <w:numFmt w:val="decimal"/>
      <w:lvlText w:val="%1"/>
      <w:lvlJc w:val="left"/>
      <w:pPr>
        <w:tabs>
          <w:tab w:pos="432" w:val="num"/>
        </w:tabs>
        <w:ind w:hanging="432" w:left="432"/>
      </w:pPr>
      <w:rPr>
        <w:rFonts w:hint="eastAsia"/>
        <w:b w:val="0"/>
        <w:i w:val="0"/>
        <w:sz w:val="36"/>
        <w:szCs w:val="36"/>
      </w:rPr>
    </w:lvl>
    <w:lvl w:ilvl="1">
      <w:start w:val="1"/>
      <w:numFmt w:val="decimal"/>
      <w:lvlText w:val="%1.%2"/>
      <w:lvlJc w:val="left"/>
      <w:pPr>
        <w:tabs>
          <w:tab w:pos="576" w:val="num"/>
        </w:tabs>
        <w:ind w:hanging="576" w:left="576"/>
      </w:pPr>
      <w:rPr>
        <w:rFonts w:hint="eastAsia"/>
        <w:b w:val="0"/>
        <w:i w:val="0"/>
        <w:sz w:val="30"/>
        <w:szCs w:val="30"/>
      </w:rPr>
    </w:lvl>
    <w:lvl w:ilvl="2">
      <w:start w:val="1"/>
      <w:numFmt w:val="decimal"/>
      <w:lvlText w:val="%1.%2.%3"/>
      <w:lvlJc w:val="left"/>
      <w:pPr>
        <w:tabs>
          <w:tab w:pos="720" w:val="num"/>
        </w:tabs>
        <w:ind w:hanging="720" w:left="720"/>
      </w:pPr>
      <w:rPr>
        <w:rFonts w:hint="eastAsia"/>
        <w:b w:val="0"/>
        <w:i w:val="0"/>
        <w:sz w:val="24"/>
        <w:szCs w:val="24"/>
      </w:rPr>
    </w:lvl>
    <w:lvl w:ilvl="3">
      <w:start w:val="1"/>
      <w:numFmt w:val="decimal"/>
      <w:lvlText w:val="%4."/>
      <w:lvlJc w:val="left"/>
      <w:pPr>
        <w:tabs>
          <w:tab w:pos="567" w:val="num"/>
        </w:tabs>
        <w:ind w:hanging="680" w:left="936"/>
      </w:pPr>
      <w:rPr>
        <w:rFonts w:hint="eastAsia"/>
        <w:b w:val="0"/>
        <w:i w:val="0"/>
        <w:sz w:val="21"/>
        <w:szCs w:val="21"/>
      </w:rPr>
    </w:lvl>
    <w:lvl w:ilvl="4">
      <w:start w:val="1"/>
      <w:numFmt w:val="decimal"/>
      <w:lvlText w:val="%5）"/>
      <w:lvlJc w:val="left"/>
      <w:pPr>
        <w:tabs>
          <w:tab w:pos="567" w:val="num"/>
        </w:tabs>
        <w:ind w:hanging="680" w:left="936"/>
      </w:pPr>
      <w:rPr>
        <w:rFonts w:hint="eastAsia"/>
        <w:b w:val="0"/>
        <w:i w:val="0"/>
        <w:sz w:val="21"/>
        <w:szCs w:val="21"/>
      </w:rPr>
    </w:lvl>
    <w:lvl w:ilvl="5">
      <w:start w:val="1"/>
      <w:numFmt w:val="lowerLetter"/>
      <w:lvlText w:val="%6）"/>
      <w:lvlJc w:val="left"/>
      <w:pPr>
        <w:tabs>
          <w:tab w:pos="567" w:val="num"/>
        </w:tabs>
        <w:ind w:hanging="680" w:left="936"/>
      </w:pPr>
      <w:rPr>
        <w:rFonts w:hint="eastAsia"/>
        <w:b w:val="0"/>
        <w:i w:val="0"/>
        <w:sz w:val="21"/>
        <w:szCs w:val="21"/>
      </w:rPr>
    </w:lvl>
    <w:lvl w:ilvl="6">
      <w:start w:val="1"/>
      <w:numFmt w:val="lowerRoman"/>
      <w:lvlText w:val="%7"/>
      <w:lvlJc w:val="left"/>
      <w:pPr>
        <w:tabs>
          <w:tab w:pos="567" w:val="num"/>
        </w:tabs>
        <w:ind w:hanging="680" w:left="936"/>
      </w:pPr>
      <w:rPr>
        <w:rFonts w:hint="default"/>
        <w:b w:val="0"/>
        <w:i w:val="0"/>
        <w:sz w:val="21"/>
        <w:szCs w:val="21"/>
      </w:rPr>
    </w:lvl>
    <w:lvl w:ilvl="7">
      <w:start w:val="1"/>
      <w:numFmt w:val="decimal"/>
      <w:lvlText w:val="%1.%2.%3.%4.%5.%6.%7.%8"/>
      <w:lvlJc w:val="left"/>
      <w:pPr>
        <w:tabs>
          <w:tab w:pos="1440" w:val="num"/>
        </w:tabs>
        <w:ind w:hanging="1440" w:left="1440"/>
      </w:pPr>
      <w:rPr>
        <w:rFonts w:hint="eastAsia"/>
        <w:b w:val="0"/>
        <w:i w:val="0"/>
        <w:sz w:val="18"/>
        <w:szCs w:val="18"/>
      </w:rPr>
    </w:lvl>
    <w:lvl w:ilvl="8">
      <w:start w:val="1"/>
      <w:numFmt w:val="decimal"/>
      <w:lvlText w:val="%1.%2.%3.%4.%5.%6.%7.%8.%9"/>
      <w:lvlJc w:val="left"/>
      <w:pPr>
        <w:tabs>
          <w:tab w:pos="1584" w:val="num"/>
        </w:tabs>
        <w:ind w:hanging="1584" w:left="1584"/>
      </w:pPr>
      <w:rPr>
        <w:rFonts w:hint="eastAsia"/>
        <w:b w:val="0"/>
        <w:i w:val="0"/>
        <w:sz w:val="18"/>
        <w:szCs w:val="18"/>
      </w:rPr>
    </w:lvl>
  </w:abstractNum>
  <w:abstractNum w15:restartNumberingAfterBreak="0" w:abstractNumId="5">
    <w:nsid w:val="382B791E"/>
    <w:multiLevelType w:val="multilevel"/>
    <w:tmpl w:val="5CF22776"/>
    <w:lvl w:ilvl="0">
      <w:start w:val="1"/>
      <w:numFmt w:val="decimal"/>
      <w:lvlText w:val="%1"/>
      <w:lvlJc w:val="left"/>
      <w:pPr>
        <w:tabs>
          <w:tab w:pos="425" w:val="num"/>
        </w:tabs>
        <w:ind w:hanging="425" w:left="425"/>
      </w:pPr>
      <w:rPr>
        <w:rFonts w:hint="eastAsia"/>
      </w:rPr>
    </w:lvl>
    <w:lvl w:ilvl="1">
      <w:start w:val="1"/>
      <w:numFmt w:val="decimal"/>
      <w:lvlText w:val="%1.%2"/>
      <w:lvlJc w:val="left"/>
      <w:pPr>
        <w:tabs>
          <w:tab w:pos="1145" w:val="num"/>
        </w:tabs>
        <w:ind w:hanging="567" w:left="992"/>
      </w:pPr>
      <w:rPr>
        <w:rFonts w:hint="eastAsia"/>
      </w:rPr>
    </w:lvl>
    <w:lvl w:ilvl="2">
      <w:start w:val="1"/>
      <w:numFmt w:val="decimal"/>
      <w:lvlText w:val="%1.%2.%3"/>
      <w:lvlJc w:val="left"/>
      <w:pPr>
        <w:tabs>
          <w:tab w:pos="1931" w:val="num"/>
        </w:tabs>
        <w:ind w:hanging="567" w:left="1418"/>
      </w:pPr>
      <w:rPr>
        <w:rFonts w:hint="eastAsia"/>
      </w:rPr>
    </w:lvl>
    <w:lvl w:ilvl="3">
      <w:start w:val="1"/>
      <w:numFmt w:val="none"/>
      <w:lvlText w:val="%1.%2.%3.%4"/>
      <w:lvlJc w:val="left"/>
      <w:pPr>
        <w:tabs>
          <w:tab w:pos="2716" w:val="num"/>
        </w:tabs>
        <w:ind w:hanging="708" w:left="1984"/>
      </w:pPr>
      <w:rPr>
        <w:rFonts w:ascii="Times New Roman" w:eastAsia="黑体" w:hAnsi="Times New Roman" w:hint="default"/>
        <w:b w:val="0"/>
        <w:i w:val="0"/>
        <w:sz w:val="21"/>
      </w:rPr>
    </w:lvl>
    <w:lvl w:ilvl="4">
      <w:start w:val="1"/>
      <w:numFmt w:val="decimal"/>
      <w:lvlText w:val="%1.%2.%3.%4.%5"/>
      <w:lvlJc w:val="left"/>
      <w:pPr>
        <w:tabs>
          <w:tab w:pos="3501" w:val="num"/>
        </w:tabs>
        <w:ind w:hanging="850" w:left="2551"/>
      </w:pPr>
      <w:rPr>
        <w:rFonts w:hint="eastAsia"/>
      </w:rPr>
    </w:lvl>
    <w:lvl w:ilvl="5">
      <w:start w:val="1"/>
      <w:numFmt w:val="decimal"/>
      <w:lvlText w:val="%1.%2.%3.%4.%5.%6"/>
      <w:lvlJc w:val="left"/>
      <w:pPr>
        <w:tabs>
          <w:tab w:pos="4286" w:val="num"/>
        </w:tabs>
        <w:ind w:hanging="1134" w:left="3260"/>
      </w:pPr>
      <w:rPr>
        <w:rFonts w:hint="eastAsia"/>
      </w:rPr>
    </w:lvl>
    <w:lvl w:ilvl="6">
      <w:start w:val="1"/>
      <w:numFmt w:val="decimal"/>
      <w:lvlText w:val="%1.%2.%3.%4.%5.%6.%7"/>
      <w:lvlJc w:val="left"/>
      <w:pPr>
        <w:tabs>
          <w:tab w:pos="5071" w:val="num"/>
        </w:tabs>
        <w:ind w:hanging="1276" w:left="3827"/>
      </w:pPr>
      <w:rPr>
        <w:rFonts w:hint="eastAsia"/>
      </w:rPr>
    </w:lvl>
    <w:lvl w:ilvl="7">
      <w:start w:val="1"/>
      <w:numFmt w:val="decimal"/>
      <w:lvlText w:val="%1.%2.%3.%4.%5.%6.%7.%8"/>
      <w:lvlJc w:val="left"/>
      <w:pPr>
        <w:tabs>
          <w:tab w:pos="5856" w:val="num"/>
        </w:tabs>
        <w:ind w:hanging="1418" w:left="4394"/>
      </w:pPr>
      <w:rPr>
        <w:rFonts w:hint="eastAsia"/>
      </w:rPr>
    </w:lvl>
    <w:lvl w:ilvl="8">
      <w:start w:val="1"/>
      <w:numFmt w:val="decimal"/>
      <w:lvlText w:val="%1.%2.%3.%4.%5.%6.%7.%8.%9"/>
      <w:lvlJc w:val="left"/>
      <w:pPr>
        <w:tabs>
          <w:tab w:pos="6642" w:val="num"/>
        </w:tabs>
        <w:ind w:hanging="1700" w:left="5102"/>
      </w:pPr>
      <w:rPr>
        <w:rFonts w:hint="eastAsia"/>
      </w:rPr>
    </w:lvl>
  </w:abstractNum>
  <w:abstractNum w15:restartNumberingAfterBreak="0" w:abstractNumId="6">
    <w:nsid w:val="42FE570A"/>
    <w:multiLevelType w:val="multilevel"/>
    <w:tmpl w:val="11FEBED6"/>
    <w:lvl w:ilvl="0">
      <w:start w:val="1"/>
      <w:numFmt w:val="decimal"/>
      <w:suff w:val="nothing"/>
      <w:lvlText w:val="%1  "/>
      <w:lvlJc w:val="left"/>
      <w:pPr>
        <w:ind w:firstLine="0" w:left="0"/>
      </w:pPr>
      <w:rPr>
        <w:rFonts w:ascii="Arial" w:eastAsia="黑体" w:hAnsi="Arial" w:hint="default"/>
        <w:b w:val="0"/>
        <w:i w:val="0"/>
        <w:sz w:val="36"/>
        <w:szCs w:val="36"/>
      </w:rPr>
    </w:lvl>
    <w:lvl w:ilvl="1">
      <w:start w:val="1"/>
      <w:numFmt w:val="decimal"/>
      <w:suff w:val="nothing"/>
      <w:lvlText w:val="%1.%2  "/>
      <w:lvlJc w:val="left"/>
      <w:pPr>
        <w:ind w:firstLine="0" w:left="0"/>
      </w:pPr>
      <w:rPr>
        <w:rFonts w:ascii="Arial" w:hAnsi="Arial" w:hint="default"/>
        <w:b w:val="0"/>
        <w:i w:val="0"/>
        <w:sz w:val="30"/>
        <w:szCs w:val="30"/>
      </w:rPr>
    </w:lvl>
    <w:lvl w:ilvl="2">
      <w:start w:val="1"/>
      <w:numFmt w:val="decimal"/>
      <w:suff w:val="nothing"/>
      <w:lvlText w:val="%1.%2.%3  "/>
      <w:lvlJc w:val="left"/>
      <w:pPr>
        <w:ind w:firstLine="0" w:left="0"/>
      </w:pPr>
      <w:rPr>
        <w:rFonts w:ascii="Arial" w:hAnsi="Arial" w:hint="default"/>
        <w:b w:val="0"/>
        <w:i w:val="0"/>
        <w:sz w:val="24"/>
        <w:szCs w:val="24"/>
      </w:rPr>
    </w:lvl>
    <w:lvl w:ilvl="3">
      <w:start w:val="1"/>
      <w:numFmt w:val="decimal"/>
      <w:suff w:val="nothing"/>
      <w:lvlText w:val="%1.%2.%3.%4  "/>
      <w:lvlJc w:val="left"/>
      <w:pPr>
        <w:ind w:firstLine="0" w:left="0"/>
      </w:pPr>
      <w:rPr>
        <w:rFonts w:ascii="Arial" w:hAnsi="Arial" w:hint="default"/>
        <w:b w:val="0"/>
        <w:i w:val="0"/>
        <w:sz w:val="21"/>
        <w:szCs w:val="21"/>
      </w:rPr>
    </w:lvl>
    <w:lvl w:ilvl="4">
      <w:start w:val="1"/>
      <w:numFmt w:val="decimal"/>
      <w:lvlText w:val="%5."/>
      <w:lvlJc w:val="left"/>
      <w:pPr>
        <w:tabs>
          <w:tab w:pos="1134" w:val="num"/>
        </w:tabs>
        <w:ind w:hanging="312" w:left="1134"/>
      </w:pPr>
      <w:rPr>
        <w:rFonts w:ascii="Arial" w:hAnsi="Arial" w:hint="default"/>
        <w:b w:val="0"/>
        <w:i w:val="0"/>
        <w:sz w:val="21"/>
        <w:szCs w:val="21"/>
      </w:rPr>
    </w:lvl>
    <w:lvl w:ilvl="5">
      <w:start w:val="1"/>
      <w:numFmt w:val="decimal"/>
      <w:lvlText w:val="%6)"/>
      <w:lvlJc w:val="left"/>
      <w:pPr>
        <w:tabs>
          <w:tab w:pos="1134" w:val="num"/>
        </w:tabs>
        <w:ind w:hanging="312" w:left="1134"/>
      </w:pPr>
      <w:rPr>
        <w:rFonts w:ascii="Arial" w:hAnsi="Arial" w:hint="default"/>
        <w:b w:val="0"/>
        <w:i w:val="0"/>
        <w:sz w:val="21"/>
        <w:szCs w:val="21"/>
      </w:rPr>
    </w:lvl>
    <w:lvl w:ilvl="6">
      <w:start w:val="1"/>
      <w:numFmt w:val="lowerLetter"/>
      <w:lvlText w:val="%7."/>
      <w:lvlJc w:val="left"/>
      <w:pPr>
        <w:tabs>
          <w:tab w:pos="1134" w:val="num"/>
        </w:tabs>
        <w:ind w:hanging="312" w:left="1134"/>
      </w:pPr>
      <w:rPr>
        <w:rFonts w:ascii="Arial" w:hAnsi="Arial" w:hint="default"/>
        <w:b w:val="0"/>
        <w:i w:val="0"/>
        <w:sz w:val="21"/>
        <w:szCs w:val="21"/>
      </w:rPr>
    </w:lvl>
    <w:lvl w:ilvl="7">
      <w:start w:val="1"/>
      <w:numFmt w:val="decimal"/>
      <w:lvlRestart w:val="0"/>
      <w:pStyle w:val="a"/>
      <w:suff w:val="space"/>
      <w:lvlText w:val="图%8"/>
      <w:lvlJc w:val="center"/>
      <w:pPr>
        <w:ind w:firstLine="0" w:left="0"/>
      </w:pPr>
      <w:rPr>
        <w:rFonts w:ascii="Arial" w:eastAsia="黑体" w:hAnsi="Arial" w:hint="default"/>
        <w:b w:val="0"/>
        <w:i w:val="0"/>
        <w:sz w:val="18"/>
        <w:szCs w:val="18"/>
      </w:rPr>
    </w:lvl>
    <w:lvl w:ilvl="8">
      <w:start w:val="1"/>
      <w:numFmt w:val="decimal"/>
      <w:lvlRestart w:val="0"/>
      <w:pStyle w:val="a0"/>
      <w:suff w:val="space"/>
      <w:lvlText w:val="表%9"/>
      <w:lvlJc w:val="center"/>
      <w:pPr>
        <w:ind w:firstLine="0" w:left="0"/>
      </w:pPr>
      <w:rPr>
        <w:rFonts w:ascii="Arial" w:eastAsia="黑体" w:hAnsi="Arial" w:hint="default"/>
        <w:b w:val="0"/>
        <w:i w:val="0"/>
        <w:sz w:val="18"/>
        <w:szCs w:val="18"/>
      </w:rPr>
    </w:lvl>
  </w:abstractNum>
  <w:abstractNum w15:restartNumberingAfterBreak="0" w:abstractNumId="7">
    <w:nsid w:val="524155D8"/>
    <w:multiLevelType w:val="multilevel"/>
    <w:tmpl w:val="AA6A53E8"/>
    <w:lvl w:ilvl="0">
      <w:start w:val="1"/>
      <w:numFmt w:val="none"/>
      <w:lvlText w:val="附录A "/>
      <w:lvlJc w:val="left"/>
      <w:pPr>
        <w:tabs>
          <w:tab w:pos="425" w:val="num"/>
        </w:tabs>
        <w:ind w:hanging="425" w:left="425"/>
      </w:pPr>
      <w:rPr>
        <w:rFonts w:hint="eastAsia"/>
      </w:rPr>
    </w:lvl>
    <w:lvl w:ilvl="1">
      <w:start w:val="1"/>
      <w:numFmt w:val="decimal"/>
      <w:lvlText w:val="A.%2"/>
      <w:lvlJc w:val="left"/>
      <w:pPr>
        <w:tabs>
          <w:tab w:pos="992" w:val="num"/>
        </w:tabs>
        <w:ind w:hanging="567" w:left="992"/>
      </w:pPr>
      <w:rPr>
        <w:rFonts w:hint="eastAsia"/>
      </w:rPr>
    </w:lvl>
    <w:lvl w:ilvl="2">
      <w:start w:val="1"/>
      <w:numFmt w:val="decimal"/>
      <w:lvlText w:val="%1.%2.%3"/>
      <w:lvlJc w:val="left"/>
      <w:pPr>
        <w:tabs>
          <w:tab w:pos="1418" w:val="num"/>
        </w:tabs>
        <w:ind w:hanging="567" w:left="1418"/>
      </w:pPr>
      <w:rPr>
        <w:rFonts w:hint="eastAsia"/>
      </w:rPr>
    </w:lvl>
    <w:lvl w:ilvl="3">
      <w:start w:val="1"/>
      <w:numFmt w:val="decimal"/>
      <w:lvlText w:val="%1.%2.%3.%4"/>
      <w:lvlJc w:val="left"/>
      <w:pPr>
        <w:tabs>
          <w:tab w:pos="1984" w:val="num"/>
        </w:tabs>
        <w:ind w:hanging="708" w:left="1984"/>
      </w:pPr>
      <w:rPr>
        <w:rFonts w:hint="eastAsia"/>
      </w:rPr>
    </w:lvl>
    <w:lvl w:ilvl="4">
      <w:start w:val="1"/>
      <w:numFmt w:val="decimal"/>
      <w:lvlText w:val="%1.%2.%3.%4.%5"/>
      <w:lvlJc w:val="left"/>
      <w:pPr>
        <w:tabs>
          <w:tab w:pos="2551" w:val="num"/>
        </w:tabs>
        <w:ind w:hanging="850" w:left="2551"/>
      </w:pPr>
      <w:rPr>
        <w:rFonts w:hint="eastAsia"/>
      </w:rPr>
    </w:lvl>
    <w:lvl w:ilvl="5">
      <w:start w:val="1"/>
      <w:numFmt w:val="decimal"/>
      <w:lvlText w:val="%1.%2.%3.%4.%5.%6"/>
      <w:lvlJc w:val="left"/>
      <w:pPr>
        <w:tabs>
          <w:tab w:pos="3260" w:val="num"/>
        </w:tabs>
        <w:ind w:hanging="1134" w:left="3260"/>
      </w:pPr>
      <w:rPr>
        <w:rFonts w:hint="eastAsia"/>
      </w:rPr>
    </w:lvl>
    <w:lvl w:ilvl="6">
      <w:start w:val="1"/>
      <w:numFmt w:val="decimal"/>
      <w:lvlText w:val="%1.%2.%3.%4.%5.%6.%7"/>
      <w:lvlJc w:val="left"/>
      <w:pPr>
        <w:tabs>
          <w:tab w:pos="3827" w:val="num"/>
        </w:tabs>
        <w:ind w:hanging="1276" w:left="3827"/>
      </w:pPr>
      <w:rPr>
        <w:rFonts w:hint="eastAsia"/>
      </w:rPr>
    </w:lvl>
    <w:lvl w:ilvl="7">
      <w:start w:val="1"/>
      <w:numFmt w:val="decimal"/>
      <w:lvlText w:val="%1.%2.%3.%4.%5.%6.%7.%8"/>
      <w:lvlJc w:val="left"/>
      <w:pPr>
        <w:tabs>
          <w:tab w:pos="4394" w:val="num"/>
        </w:tabs>
        <w:ind w:hanging="1418" w:left="4394"/>
      </w:pPr>
      <w:rPr>
        <w:rFonts w:hint="eastAsia"/>
      </w:rPr>
    </w:lvl>
    <w:lvl w:ilvl="8">
      <w:start w:val="1"/>
      <w:numFmt w:val="decimal"/>
      <w:lvlText w:val="%1.%2.%3.%4.%5.%6.%7.%8.%9"/>
      <w:lvlJc w:val="left"/>
      <w:pPr>
        <w:tabs>
          <w:tab w:pos="5102" w:val="num"/>
        </w:tabs>
        <w:ind w:hanging="1700" w:left="5102"/>
      </w:pPr>
      <w:rPr>
        <w:rFonts w:hint="eastAsia"/>
      </w:rPr>
    </w:lvl>
  </w:abstractNum>
  <w:abstractNum w15:restartNumberingAfterBreak="0" w:abstractNumId="8">
    <w:nsid w:val="63520BF7"/>
    <w:multiLevelType w:val="hybridMultilevel"/>
    <w:tmpl w:val="69F6765C"/>
    <w:lvl w:ilvl="0" w:tplc="04090001">
      <w:start w:val="1"/>
      <w:numFmt w:val="bullet"/>
      <w:lvlText w:val=""/>
      <w:lvlJc w:val="left"/>
      <w:pPr>
        <w:ind w:hanging="420" w:left="420"/>
      </w:pPr>
      <w:rPr>
        <w:rFonts w:ascii="Wingdings" w:hAnsi="Wingdings" w:hint="default"/>
      </w:rPr>
    </w:lvl>
    <w:lvl w:ilvl="1" w:tentative="1" w:tplc="04090003">
      <w:start w:val="1"/>
      <w:numFmt w:val="bullet"/>
      <w:lvlText w:val=""/>
      <w:lvlJc w:val="left"/>
      <w:pPr>
        <w:ind w:hanging="420" w:left="840"/>
      </w:pPr>
      <w:rPr>
        <w:rFonts w:ascii="Wingdings" w:hAnsi="Wingdings" w:hint="default"/>
      </w:rPr>
    </w:lvl>
    <w:lvl w:ilvl="2" w:tentative="1" w:tplc="04090005">
      <w:start w:val="1"/>
      <w:numFmt w:val="bullet"/>
      <w:lvlText w:val=""/>
      <w:lvlJc w:val="left"/>
      <w:pPr>
        <w:ind w:hanging="420" w:left="1260"/>
      </w:pPr>
      <w:rPr>
        <w:rFonts w:ascii="Wingdings" w:hAnsi="Wingdings" w:hint="default"/>
      </w:rPr>
    </w:lvl>
    <w:lvl w:ilvl="3" w:tentative="1" w:tplc="04090001">
      <w:start w:val="1"/>
      <w:numFmt w:val="bullet"/>
      <w:lvlText w:val=""/>
      <w:lvlJc w:val="left"/>
      <w:pPr>
        <w:ind w:hanging="420" w:left="1680"/>
      </w:pPr>
      <w:rPr>
        <w:rFonts w:ascii="Wingdings" w:hAnsi="Wingdings" w:hint="default"/>
      </w:rPr>
    </w:lvl>
    <w:lvl w:ilvl="4" w:tentative="1" w:tplc="04090003">
      <w:start w:val="1"/>
      <w:numFmt w:val="bullet"/>
      <w:lvlText w:val=""/>
      <w:lvlJc w:val="left"/>
      <w:pPr>
        <w:ind w:hanging="420" w:left="2100"/>
      </w:pPr>
      <w:rPr>
        <w:rFonts w:ascii="Wingdings" w:hAnsi="Wingdings" w:hint="default"/>
      </w:rPr>
    </w:lvl>
    <w:lvl w:ilvl="5" w:tentative="1" w:tplc="04090005">
      <w:start w:val="1"/>
      <w:numFmt w:val="bullet"/>
      <w:lvlText w:val=""/>
      <w:lvlJc w:val="left"/>
      <w:pPr>
        <w:ind w:hanging="420" w:left="2520"/>
      </w:pPr>
      <w:rPr>
        <w:rFonts w:ascii="Wingdings" w:hAnsi="Wingdings" w:hint="default"/>
      </w:rPr>
    </w:lvl>
    <w:lvl w:ilvl="6" w:tentative="1" w:tplc="04090001">
      <w:start w:val="1"/>
      <w:numFmt w:val="bullet"/>
      <w:lvlText w:val=""/>
      <w:lvlJc w:val="left"/>
      <w:pPr>
        <w:ind w:hanging="420" w:left="2940"/>
      </w:pPr>
      <w:rPr>
        <w:rFonts w:ascii="Wingdings" w:hAnsi="Wingdings" w:hint="default"/>
      </w:rPr>
    </w:lvl>
    <w:lvl w:ilvl="7" w:tentative="1" w:tplc="04090003">
      <w:start w:val="1"/>
      <w:numFmt w:val="bullet"/>
      <w:lvlText w:val=""/>
      <w:lvlJc w:val="left"/>
      <w:pPr>
        <w:ind w:hanging="420" w:left="3360"/>
      </w:pPr>
      <w:rPr>
        <w:rFonts w:ascii="Wingdings" w:hAnsi="Wingdings" w:hint="default"/>
      </w:rPr>
    </w:lvl>
    <w:lvl w:ilvl="8" w:tentative="1" w:tplc="04090005">
      <w:start w:val="1"/>
      <w:numFmt w:val="bullet"/>
      <w:lvlText w:val=""/>
      <w:lvlJc w:val="left"/>
      <w:pPr>
        <w:ind w:hanging="420" w:left="3780"/>
      </w:pPr>
      <w:rPr>
        <w:rFonts w:ascii="Wingdings" w:hAnsi="Wingdings" w:hint="default"/>
      </w:rPr>
    </w:lvl>
  </w:abstractNum>
  <w:abstractNum w15:restartNumberingAfterBreak="0" w:abstractNumId="9">
    <w:nsid w:val="63546429"/>
    <w:multiLevelType w:val="multilevel"/>
    <w:tmpl w:val="FE4653A2"/>
    <w:lvl w:ilvl="0">
      <w:start w:val="1"/>
      <w:numFmt w:val="decimal"/>
      <w:lvlText w:val="%1"/>
      <w:lvlJc w:val="left"/>
      <w:pPr>
        <w:tabs>
          <w:tab w:pos="432" w:val="num"/>
        </w:tabs>
        <w:ind w:hanging="432" w:left="432"/>
      </w:pPr>
      <w:rPr>
        <w:rFonts w:hint="eastAsia"/>
      </w:rPr>
    </w:lvl>
    <w:lvl w:ilvl="1">
      <w:start w:val="1"/>
      <w:numFmt w:val="decimal"/>
      <w:lvlText w:val="%1.%2"/>
      <w:lvlJc w:val="left"/>
      <w:pPr>
        <w:tabs>
          <w:tab w:pos="576" w:val="num"/>
        </w:tabs>
        <w:ind w:hanging="576" w:left="576"/>
      </w:pPr>
      <w:rPr>
        <w:rFonts w:hint="eastAsia"/>
      </w:rPr>
    </w:lvl>
    <w:lvl w:ilvl="2">
      <w:start w:val="1"/>
      <w:numFmt w:val="decimal"/>
      <w:lvlText w:val="%1.%2.%3"/>
      <w:lvlJc w:val="left"/>
      <w:pPr>
        <w:tabs>
          <w:tab w:pos="720" w:val="num"/>
        </w:tabs>
        <w:ind w:hanging="720" w:left="720"/>
      </w:pPr>
      <w:rPr>
        <w:rFonts w:hint="eastAsia"/>
      </w:rPr>
    </w:lvl>
    <w:lvl w:ilvl="3">
      <w:start w:val="1"/>
      <w:numFmt w:val="decimal"/>
      <w:lvlText w:val="%4."/>
      <w:lvlJc w:val="left"/>
      <w:pPr>
        <w:tabs>
          <w:tab w:pos="567" w:val="num"/>
        </w:tabs>
        <w:ind w:hanging="680" w:left="936"/>
      </w:pPr>
      <w:rPr>
        <w:rFonts w:hint="eastAsia"/>
      </w:rPr>
    </w:lvl>
    <w:lvl w:ilvl="4">
      <w:start w:val="1"/>
      <w:numFmt w:val="decimal"/>
      <w:lvlText w:val="%5）"/>
      <w:lvlJc w:val="left"/>
      <w:pPr>
        <w:tabs>
          <w:tab w:pos="567" w:val="num"/>
        </w:tabs>
        <w:ind w:hanging="680" w:left="936"/>
      </w:pPr>
      <w:rPr>
        <w:rFonts w:hint="eastAsia"/>
      </w:rPr>
    </w:lvl>
    <w:lvl w:ilvl="5">
      <w:start w:val="1"/>
      <w:numFmt w:val="lowerLetter"/>
      <w:lvlText w:val="%6）"/>
      <w:lvlJc w:val="left"/>
      <w:pPr>
        <w:tabs>
          <w:tab w:pos="567" w:val="num"/>
        </w:tabs>
        <w:ind w:hanging="680" w:left="936"/>
      </w:pPr>
      <w:rPr>
        <w:rFonts w:hint="eastAsia"/>
      </w:rPr>
    </w:lvl>
    <w:lvl w:ilvl="6">
      <w:start w:val="1"/>
      <w:numFmt w:val="lowerRoman"/>
      <w:lvlText w:val="%7"/>
      <w:lvlJc w:val="left"/>
      <w:pPr>
        <w:tabs>
          <w:tab w:pos="567" w:val="num"/>
        </w:tabs>
        <w:ind w:hanging="680" w:left="936"/>
      </w:pPr>
      <w:rPr>
        <w:rFonts w:hint="default"/>
      </w:rPr>
    </w:lvl>
    <w:lvl w:ilvl="7">
      <w:start w:val="1"/>
      <w:numFmt w:val="decimal"/>
      <w:lvlText w:val="%1.%2.%3.%4.%5.%6.%7.%8"/>
      <w:lvlJc w:val="left"/>
      <w:pPr>
        <w:tabs>
          <w:tab w:pos="1440" w:val="num"/>
        </w:tabs>
        <w:ind w:hanging="1440" w:left="1440"/>
      </w:pPr>
      <w:rPr>
        <w:rFonts w:hint="eastAsia"/>
      </w:rPr>
    </w:lvl>
    <w:lvl w:ilvl="8">
      <w:start w:val="1"/>
      <w:numFmt w:val="decimal"/>
      <w:lvlText w:val="%1.%2.%3.%4.%5.%6.%7.%8.%9"/>
      <w:lvlJc w:val="left"/>
      <w:pPr>
        <w:tabs>
          <w:tab w:pos="1584" w:val="num"/>
        </w:tabs>
        <w:ind w:hanging="1584" w:left="1584"/>
      </w:pPr>
      <w:rPr>
        <w:rFonts w:hint="eastAsia"/>
      </w:rPr>
    </w:lvl>
  </w:abstractNum>
  <w:abstractNum w15:restartNumberingAfterBreak="0" w:abstractNumId="10">
    <w:nsid w:val="6E020DB0"/>
    <w:multiLevelType w:val="hybridMultilevel"/>
    <w:tmpl w:val="A4EC9D94"/>
    <w:lvl w:ilvl="0" w:tplc="04090001">
      <w:start w:val="1"/>
      <w:numFmt w:val="bullet"/>
      <w:lvlText w:val=""/>
      <w:lvlJc w:val="left"/>
      <w:pPr>
        <w:ind w:hanging="420" w:left="420"/>
      </w:pPr>
      <w:rPr>
        <w:rFonts w:ascii="Wingdings" w:hAnsi="Wingdings" w:hint="default"/>
      </w:rPr>
    </w:lvl>
    <w:lvl w:ilvl="1" w:tentative="1" w:tplc="04090003">
      <w:start w:val="1"/>
      <w:numFmt w:val="bullet"/>
      <w:lvlText w:val=""/>
      <w:lvlJc w:val="left"/>
      <w:pPr>
        <w:ind w:hanging="420" w:left="840"/>
      </w:pPr>
      <w:rPr>
        <w:rFonts w:ascii="Wingdings" w:hAnsi="Wingdings" w:hint="default"/>
      </w:rPr>
    </w:lvl>
    <w:lvl w:ilvl="2" w:tentative="1" w:tplc="04090005">
      <w:start w:val="1"/>
      <w:numFmt w:val="bullet"/>
      <w:lvlText w:val=""/>
      <w:lvlJc w:val="left"/>
      <w:pPr>
        <w:ind w:hanging="420" w:left="1260"/>
      </w:pPr>
      <w:rPr>
        <w:rFonts w:ascii="Wingdings" w:hAnsi="Wingdings" w:hint="default"/>
      </w:rPr>
    </w:lvl>
    <w:lvl w:ilvl="3" w:tentative="1" w:tplc="04090001">
      <w:start w:val="1"/>
      <w:numFmt w:val="bullet"/>
      <w:lvlText w:val=""/>
      <w:lvlJc w:val="left"/>
      <w:pPr>
        <w:ind w:hanging="420" w:left="1680"/>
      </w:pPr>
      <w:rPr>
        <w:rFonts w:ascii="Wingdings" w:hAnsi="Wingdings" w:hint="default"/>
      </w:rPr>
    </w:lvl>
    <w:lvl w:ilvl="4" w:tentative="1" w:tplc="04090003">
      <w:start w:val="1"/>
      <w:numFmt w:val="bullet"/>
      <w:lvlText w:val=""/>
      <w:lvlJc w:val="left"/>
      <w:pPr>
        <w:ind w:hanging="420" w:left="2100"/>
      </w:pPr>
      <w:rPr>
        <w:rFonts w:ascii="Wingdings" w:hAnsi="Wingdings" w:hint="default"/>
      </w:rPr>
    </w:lvl>
    <w:lvl w:ilvl="5" w:tentative="1" w:tplc="04090005">
      <w:start w:val="1"/>
      <w:numFmt w:val="bullet"/>
      <w:lvlText w:val=""/>
      <w:lvlJc w:val="left"/>
      <w:pPr>
        <w:ind w:hanging="420" w:left="2520"/>
      </w:pPr>
      <w:rPr>
        <w:rFonts w:ascii="Wingdings" w:hAnsi="Wingdings" w:hint="default"/>
      </w:rPr>
    </w:lvl>
    <w:lvl w:ilvl="6" w:tentative="1" w:tplc="04090001">
      <w:start w:val="1"/>
      <w:numFmt w:val="bullet"/>
      <w:lvlText w:val=""/>
      <w:lvlJc w:val="left"/>
      <w:pPr>
        <w:ind w:hanging="420" w:left="2940"/>
      </w:pPr>
      <w:rPr>
        <w:rFonts w:ascii="Wingdings" w:hAnsi="Wingdings" w:hint="default"/>
      </w:rPr>
    </w:lvl>
    <w:lvl w:ilvl="7" w:tentative="1" w:tplc="04090003">
      <w:start w:val="1"/>
      <w:numFmt w:val="bullet"/>
      <w:lvlText w:val=""/>
      <w:lvlJc w:val="left"/>
      <w:pPr>
        <w:ind w:hanging="420" w:left="3360"/>
      </w:pPr>
      <w:rPr>
        <w:rFonts w:ascii="Wingdings" w:hAnsi="Wingdings" w:hint="default"/>
      </w:rPr>
    </w:lvl>
    <w:lvl w:ilvl="8" w:tentative="1" w:tplc="04090005">
      <w:start w:val="1"/>
      <w:numFmt w:val="bullet"/>
      <w:lvlText w:val=""/>
      <w:lvlJc w:val="left"/>
      <w:pPr>
        <w:ind w:hanging="420" w:left="3780"/>
      </w:pPr>
      <w:rPr>
        <w:rFonts w:ascii="Wingdings" w:hAnsi="Wingdings" w:hint="default"/>
      </w:rPr>
    </w:lvl>
  </w:abstractNum>
  <w:abstractNum w15:restartNumberingAfterBreak="0" w:abstractNumId="11">
    <w:nsid w:val="72347E6A"/>
    <w:multiLevelType w:val="multilevel"/>
    <w:tmpl w:val="D95C4700"/>
    <w:lvl w:ilvl="0">
      <w:start w:val="1"/>
      <w:numFmt w:val="upperLetter"/>
      <w:lvlText w:val="附录%1"/>
      <w:lvlJc w:val="left"/>
      <w:pPr>
        <w:tabs>
          <w:tab w:pos="432" w:val="num"/>
        </w:tabs>
        <w:ind w:hanging="432" w:left="432"/>
      </w:pPr>
      <w:rPr>
        <w:rFonts w:hint="eastAsia"/>
      </w:rPr>
    </w:lvl>
    <w:lvl w:ilvl="1">
      <w:start w:val="1"/>
      <w:numFmt w:val="decimal"/>
      <w:lvlText w:val="%1.%2"/>
      <w:lvlJc w:val="left"/>
      <w:pPr>
        <w:tabs>
          <w:tab w:pos="576" w:val="num"/>
        </w:tabs>
        <w:ind w:hanging="576" w:left="576"/>
      </w:pPr>
      <w:rPr>
        <w:rFonts w:hint="eastAsia"/>
      </w:rPr>
    </w:lvl>
    <w:lvl w:ilvl="2">
      <w:start w:val="1"/>
      <w:numFmt w:val="decimal"/>
      <w:lvlText w:val="%1.%2.%3"/>
      <w:lvlJc w:val="left"/>
      <w:pPr>
        <w:tabs>
          <w:tab w:pos="720" w:val="num"/>
        </w:tabs>
        <w:ind w:hanging="720" w:left="720"/>
      </w:pPr>
      <w:rPr>
        <w:rFonts w:hint="eastAsia"/>
      </w:rPr>
    </w:lvl>
    <w:lvl w:ilvl="3">
      <w:start w:val="1"/>
      <w:numFmt w:val="decimal"/>
      <w:lvlText w:val="%4."/>
      <w:lvlJc w:val="left"/>
      <w:pPr>
        <w:tabs>
          <w:tab w:pos="567" w:val="num"/>
        </w:tabs>
        <w:ind w:hanging="680" w:left="936"/>
      </w:pPr>
      <w:rPr>
        <w:rFonts w:hint="eastAsia"/>
      </w:rPr>
    </w:lvl>
    <w:lvl w:ilvl="4">
      <w:start w:val="1"/>
      <w:numFmt w:val="decimal"/>
      <w:lvlText w:val="%5）"/>
      <w:lvlJc w:val="left"/>
      <w:pPr>
        <w:tabs>
          <w:tab w:pos="567" w:val="num"/>
        </w:tabs>
        <w:ind w:hanging="680" w:left="936"/>
      </w:pPr>
      <w:rPr>
        <w:rFonts w:hint="eastAsia"/>
      </w:rPr>
    </w:lvl>
    <w:lvl w:ilvl="5">
      <w:start w:val="1"/>
      <w:numFmt w:val="lowerLetter"/>
      <w:lvlText w:val="%6）"/>
      <w:lvlJc w:val="left"/>
      <w:pPr>
        <w:tabs>
          <w:tab w:pos="567" w:val="num"/>
        </w:tabs>
        <w:ind w:hanging="680" w:left="936"/>
      </w:pPr>
      <w:rPr>
        <w:rFonts w:hint="eastAsia"/>
      </w:rPr>
    </w:lvl>
    <w:lvl w:ilvl="6">
      <w:start w:val="1"/>
      <w:numFmt w:val="lowerRoman"/>
      <w:lvlText w:val="%7"/>
      <w:lvlJc w:val="left"/>
      <w:pPr>
        <w:tabs>
          <w:tab w:pos="567" w:val="num"/>
        </w:tabs>
        <w:ind w:hanging="680" w:left="936"/>
      </w:pPr>
      <w:rPr>
        <w:rFonts w:hint="default"/>
      </w:rPr>
    </w:lvl>
    <w:lvl w:ilvl="7">
      <w:start w:val="1"/>
      <w:numFmt w:val="decimal"/>
      <w:lvlText w:val="%1.%2.%3.%4.%5.%6.%7.%8"/>
      <w:lvlJc w:val="left"/>
      <w:pPr>
        <w:tabs>
          <w:tab w:pos="1440" w:val="num"/>
        </w:tabs>
        <w:ind w:hanging="1440" w:left="1440"/>
      </w:pPr>
      <w:rPr>
        <w:rFonts w:hint="eastAsia"/>
      </w:rPr>
    </w:lvl>
    <w:lvl w:ilvl="8">
      <w:start w:val="1"/>
      <w:numFmt w:val="decimal"/>
      <w:lvlText w:val="%1.%2.%3.%4.%5.%6.%7.%8.%9"/>
      <w:lvlJc w:val="left"/>
      <w:pPr>
        <w:tabs>
          <w:tab w:pos="1584" w:val="num"/>
        </w:tabs>
        <w:ind w:hanging="1584" w:left="1584"/>
      </w:pPr>
      <w:rPr>
        <w:rFonts w:hint="eastAsia"/>
      </w:rPr>
    </w:lvl>
  </w:abstractNum>
  <w:abstractNum w15:restartNumberingAfterBreak="0" w:abstractNumId="12">
    <w:nsid w:val="7E0E3B0E"/>
    <w:multiLevelType w:val="multilevel"/>
    <w:tmpl w:val="E62EF8F2"/>
    <w:lvl w:ilvl="0">
      <w:start w:val="1"/>
      <w:numFmt w:val="none"/>
      <w:lvlText w:val="附录A "/>
      <w:lvlJc w:val="left"/>
      <w:pPr>
        <w:tabs>
          <w:tab w:pos="425" w:val="num"/>
        </w:tabs>
        <w:ind w:hanging="425" w:left="425"/>
      </w:pPr>
      <w:rPr>
        <w:rFonts w:hint="eastAsia"/>
      </w:rPr>
    </w:lvl>
    <w:lvl w:ilvl="1">
      <w:start w:val="1"/>
      <w:numFmt w:val="decimal"/>
      <w:lvlText w:val="A.%2"/>
      <w:lvlJc w:val="left"/>
      <w:pPr>
        <w:tabs>
          <w:tab w:pos="992" w:val="num"/>
        </w:tabs>
        <w:ind w:hanging="567" w:left="992"/>
      </w:pPr>
      <w:rPr>
        <w:rFonts w:hint="eastAsia"/>
      </w:rPr>
    </w:lvl>
    <w:lvl w:ilvl="2">
      <w:start w:val="1"/>
      <w:numFmt w:val="decimal"/>
      <w:lvlText w:val="%1A.%2.%3"/>
      <w:lvlJc w:val="left"/>
      <w:pPr>
        <w:tabs>
          <w:tab w:pos="1418" w:val="num"/>
        </w:tabs>
        <w:ind w:hanging="567" w:left="1418"/>
      </w:pPr>
      <w:rPr>
        <w:rFonts w:hint="eastAsia"/>
      </w:rPr>
    </w:lvl>
    <w:lvl w:ilvl="3">
      <w:start w:val="1"/>
      <w:numFmt w:val="decimal"/>
      <w:lvlText w:val="%1.%2.%3.%4"/>
      <w:lvlJc w:val="left"/>
      <w:pPr>
        <w:tabs>
          <w:tab w:pos="1984" w:val="num"/>
        </w:tabs>
        <w:ind w:hanging="708" w:left="1984"/>
      </w:pPr>
      <w:rPr>
        <w:rFonts w:hint="eastAsia"/>
      </w:rPr>
    </w:lvl>
    <w:lvl w:ilvl="4">
      <w:start w:val="1"/>
      <w:numFmt w:val="decimal"/>
      <w:lvlText w:val="%1.%2.%3.%4.%5"/>
      <w:lvlJc w:val="left"/>
      <w:pPr>
        <w:tabs>
          <w:tab w:pos="2551" w:val="num"/>
        </w:tabs>
        <w:ind w:hanging="850" w:left="2551"/>
      </w:pPr>
      <w:rPr>
        <w:rFonts w:hint="eastAsia"/>
      </w:rPr>
    </w:lvl>
    <w:lvl w:ilvl="5">
      <w:start w:val="1"/>
      <w:numFmt w:val="decimal"/>
      <w:lvlText w:val="%1.%2.%3.%4.%5.%6"/>
      <w:lvlJc w:val="left"/>
      <w:pPr>
        <w:tabs>
          <w:tab w:pos="3260" w:val="num"/>
        </w:tabs>
        <w:ind w:hanging="1134" w:left="3260"/>
      </w:pPr>
      <w:rPr>
        <w:rFonts w:hint="eastAsia"/>
      </w:rPr>
    </w:lvl>
    <w:lvl w:ilvl="6">
      <w:start w:val="1"/>
      <w:numFmt w:val="decimal"/>
      <w:lvlText w:val="%1.%2.%3.%4.%5.%6.%7"/>
      <w:lvlJc w:val="left"/>
      <w:pPr>
        <w:tabs>
          <w:tab w:pos="3827" w:val="num"/>
        </w:tabs>
        <w:ind w:hanging="1276" w:left="3827"/>
      </w:pPr>
      <w:rPr>
        <w:rFonts w:hint="eastAsia"/>
      </w:rPr>
    </w:lvl>
    <w:lvl w:ilvl="7">
      <w:start w:val="1"/>
      <w:numFmt w:val="decimal"/>
      <w:lvlText w:val="%1.%2.%3.%4.%5.%6.%7.%8"/>
      <w:lvlJc w:val="left"/>
      <w:pPr>
        <w:tabs>
          <w:tab w:pos="4394" w:val="num"/>
        </w:tabs>
        <w:ind w:hanging="1418" w:left="4394"/>
      </w:pPr>
      <w:rPr>
        <w:rFonts w:hint="eastAsia"/>
      </w:rPr>
    </w:lvl>
    <w:lvl w:ilvl="8">
      <w:start w:val="1"/>
      <w:numFmt w:val="decimal"/>
      <w:lvlText w:val="%1.%2.%3.%4.%5.%6.%7.%8.%9"/>
      <w:lvlJc w:val="left"/>
      <w:pPr>
        <w:tabs>
          <w:tab w:pos="5102" w:val="num"/>
        </w:tabs>
        <w:ind w:hanging="1700" w:left="5102"/>
      </w:pPr>
      <w:rPr>
        <w:rFonts w:hint="eastAsia"/>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11"/>
  </w:num>
  <w:num w:numId="2">
    <w:abstractNumId w:val="11"/>
  </w:num>
  <w:num w:numId="3">
    <w:abstractNumId w:val="11"/>
  </w:num>
  <w:num w:numId="4">
    <w:abstractNumId w:val="6"/>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11"/>
  </w:num>
  <w:num w:numId="8">
    <w:abstractNumId w:val="11"/>
  </w:num>
  <w:num w:numId="9">
    <w:abstractNumId w:val="11"/>
  </w:num>
  <w:num w:numId="10">
    <w:abstractNumId w:val="2"/>
  </w:num>
  <w:num w:numId="11">
    <w:abstractNumId w:val="2"/>
  </w:num>
  <w:num w:numId="12">
    <w:abstractNumId w:val="2"/>
  </w:num>
  <w:num w:numId="13">
    <w:abstractNumId w:val="4"/>
  </w:num>
  <w:num w:numId="14">
    <w:abstractNumId w:val="5"/>
  </w:num>
  <w:num w:numId="15">
    <w:abstractNumId w:val="0"/>
  </w:num>
  <w:num w:numId="16">
    <w:abstractNumId w:val="3"/>
  </w:num>
  <w:num w:numId="17">
    <w:abstractNumId w:val="7"/>
  </w:num>
  <w:num w:numId="18">
    <w:abstractNumId w:val="7"/>
  </w:num>
  <w:num w:numId="19">
    <w:abstractNumId w:val="7"/>
  </w:num>
  <w:num w:numId="20">
    <w:abstractNumId w:val="12"/>
  </w:num>
  <w:num w:numId="21">
    <w:abstractNumId w:val="12"/>
  </w:num>
  <w:num w:numId="22">
    <w:abstractNumId w:val="12"/>
  </w:num>
  <w:num w:numId="23">
    <w:abstractNumId w:val="12"/>
  </w:num>
  <w:num w:numId="24">
    <w:abstractNumId w:val="7"/>
  </w:num>
  <w:num w:numId="25">
    <w:abstractNumId w:val="7"/>
  </w:num>
  <w:num w:numId="26">
    <w:abstractNumId w:val="12"/>
  </w:num>
  <w:num w:numId="27">
    <w:abstractNumId w:val="12"/>
  </w:num>
  <w:num w:numId="28">
    <w:abstractNumId w:val="12"/>
  </w:num>
  <w:num w:numId="29">
    <w:abstractNumId w:val="1"/>
  </w:num>
  <w:num w:numId="30">
    <w:abstractNumId w:val="7"/>
  </w:num>
  <w:num w:numId="31">
    <w:abstractNumId w:val="7"/>
  </w:num>
  <w:num w:numId="32">
    <w:abstractNumId w:val="12"/>
  </w:num>
  <w:num w:numId="33">
    <w:abstractNumId w:val="9"/>
  </w:num>
  <w:num w:numId="34">
    <w:abstractNumId w:val="9"/>
  </w:num>
  <w:num w:numId="35">
    <w:abstractNumId w:val="9"/>
  </w:num>
  <w:num w:numId="36">
    <w:abstractNumId w:val="8"/>
  </w:num>
  <w:num w:numId="37">
    <w:abstractNumId w:val="10"/>
  </w:num>
  <w:num w:numId="38">
    <w:abstractNumId w:val="5"/>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bordersDoNotSurroundHeader/>
  <w:bordersDoNotSurroundFooter/>
  <w:proofState w:grammar="clean"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oNotTrackMoves/>
  <w:defaultTabStop w:val="420"/>
  <w:drawingGridHorizontalSpacing w:val="360"/>
  <w:drawingGridVerticalSpacing w:val="156"/>
  <w:displayHorizontalDrawingGridEvery w:val="0"/>
  <w:displayVerticalDrawingGridEvery w:val="2"/>
  <w:characterSpacingControl w:val="compressPunctuation"/>
  <w:savePreviewPicture/>
  <w:hdrShapeDefaults>
    <o:shapedefaults spidmax="2049" v:ext="edi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0A7"/>
    <w:rsid w:val="000102B5"/>
    <w:rsid w:val="00035469"/>
    <w:rsid w:val="000E4728"/>
    <w:rsid w:val="00152B8F"/>
    <w:rsid w:val="00213E97"/>
    <w:rsid w:val="00252533"/>
    <w:rsid w:val="0030135D"/>
    <w:rsid w:val="003055E4"/>
    <w:rsid w:val="00307760"/>
    <w:rsid w:val="00317F8C"/>
    <w:rsid w:val="00322726"/>
    <w:rsid w:val="00347C58"/>
    <w:rsid w:val="00357BE0"/>
    <w:rsid w:val="00371214"/>
    <w:rsid w:val="00383865"/>
    <w:rsid w:val="003A1473"/>
    <w:rsid w:val="00420644"/>
    <w:rsid w:val="00425F62"/>
    <w:rsid w:val="00447D76"/>
    <w:rsid w:val="004D4BF0"/>
    <w:rsid w:val="004F7651"/>
    <w:rsid w:val="00540971"/>
    <w:rsid w:val="00553C76"/>
    <w:rsid w:val="005655BF"/>
    <w:rsid w:val="00575484"/>
    <w:rsid w:val="00601B2B"/>
    <w:rsid w:val="00634265"/>
    <w:rsid w:val="00684CBC"/>
    <w:rsid w:val="0069322B"/>
    <w:rsid w:val="006A11A2"/>
    <w:rsid w:val="006C6C23"/>
    <w:rsid w:val="0075012D"/>
    <w:rsid w:val="00765FE7"/>
    <w:rsid w:val="00775BB5"/>
    <w:rsid w:val="00780144"/>
    <w:rsid w:val="007807B5"/>
    <w:rsid w:val="007B40D3"/>
    <w:rsid w:val="007C563B"/>
    <w:rsid w:val="008E63A1"/>
    <w:rsid w:val="009E26E6"/>
    <w:rsid w:val="00A72D46"/>
    <w:rsid w:val="00AC176D"/>
    <w:rsid w:val="00AD28AD"/>
    <w:rsid w:val="00B37578"/>
    <w:rsid w:val="00B968F9"/>
    <w:rsid w:val="00C216AC"/>
    <w:rsid w:val="00C4424D"/>
    <w:rsid w:val="00C53AFA"/>
    <w:rsid w:val="00C713E6"/>
    <w:rsid w:val="00C950A7"/>
    <w:rsid w:val="00CA0E00"/>
    <w:rsid w:val="00CC7E22"/>
    <w:rsid w:val="00CF7452"/>
    <w:rsid w:val="00D16C4C"/>
    <w:rsid w:val="00D87114"/>
    <w:rsid w:val="00DA4F26"/>
    <w:rsid w:val="00DE0DA9"/>
    <w:rsid w:val="00EE2438"/>
    <w:rsid w:val="00EE501F"/>
    <w:rsid w:val="00EE58DB"/>
    <w:rsid w:val="00EF34B7"/>
    <w:rsid w:val="00F30795"/>
    <w:rsid w:val="00F560A8"/>
    <w:rsid w:val="00F741A4"/>
    <w:rsid w:val="00F83323"/>
    <w:rsid w:val="00F919AB"/>
    <w:rsid w:val="00F93C80"/>
    <w:rsid w:val="00FF42E9"/>
    <w:rsid w:val="00FF77C6"/>
  </w:rsids>
  <w:themeFontLang w:eastAsia="zh-CN"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宋体" w:hAnsi="Times New Roman"/>
        <w:lang w:bidi="ar-SA" w:eastAsia="zh-CN" w:val="en-US"/>
      </w:rPr>
    </w:rPrDefault>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semiHidden="1" w:unhideWhenUsed="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qFormat="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1" w:type="paragraph">
    <w:name w:val="Normal"/>
    <w:qFormat/>
    <w:pPr>
      <w:widowControl w:val="0"/>
      <w:autoSpaceDE w:val="0"/>
      <w:autoSpaceDN w:val="0"/>
      <w:adjustRightInd w:val="0"/>
      <w:spacing w:line="360" w:lineRule="auto"/>
    </w:pPr>
    <w:rPr>
      <w:snapToGrid w:val="0"/>
      <w:sz w:val="21"/>
      <w:szCs w:val="21"/>
    </w:rPr>
  </w:style>
  <w:style w:styleId="1" w:type="paragraph">
    <w:name w:val="heading 1"/>
    <w:next w:val="2"/>
    <w:qFormat/>
    <w:rsid w:val="00FF42E9"/>
    <w:pPr>
      <w:keepNext/>
      <w:spacing w:after="240" w:before="240"/>
      <w:jc w:val="both"/>
      <w:outlineLvl w:val="0"/>
    </w:pPr>
    <w:rPr>
      <w:rFonts w:ascii="Arial" w:eastAsia="黑体" w:hAnsi="Arial"/>
      <w:b/>
      <w:sz w:val="32"/>
      <w:szCs w:val="32"/>
    </w:rPr>
  </w:style>
  <w:style w:styleId="2" w:type="paragraph">
    <w:name w:val="heading 2"/>
    <w:next w:val="a1"/>
    <w:qFormat/>
    <w:rsid w:val="00FF42E9"/>
    <w:pPr>
      <w:keepNext/>
      <w:spacing w:after="240" w:before="240"/>
      <w:jc w:val="both"/>
      <w:outlineLvl w:val="1"/>
    </w:pPr>
    <w:rPr>
      <w:rFonts w:ascii="Arial" w:eastAsia="黑体" w:hAnsi="Arial"/>
      <w:sz w:val="24"/>
      <w:szCs w:val="24"/>
    </w:rPr>
  </w:style>
  <w:style w:styleId="3" w:type="paragraph">
    <w:name w:val="heading 3"/>
    <w:basedOn w:val="a1"/>
    <w:next w:val="a1"/>
    <w:qFormat/>
    <w:rsid w:val="00FF42E9"/>
    <w:pPr>
      <w:keepNext/>
      <w:keepLines/>
      <w:autoSpaceDE/>
      <w:autoSpaceDN/>
      <w:adjustRightInd/>
      <w:spacing w:after="260" w:before="260" w:line="416" w:lineRule="auto"/>
      <w:jc w:val="both"/>
      <w:outlineLvl w:val="2"/>
    </w:pPr>
    <w:rPr>
      <w:rFonts w:eastAsia="黑体"/>
      <w:bCs/>
      <w:kern w:val="2"/>
      <w:sz w:val="24"/>
      <w:szCs w:val="32"/>
    </w:rPr>
  </w:style>
  <w:style w:styleId="4" w:type="paragraph">
    <w:name w:val="heading 4"/>
    <w:basedOn w:val="a1"/>
    <w:next w:val="a1"/>
    <w:link w:val="40"/>
    <w:unhideWhenUsed/>
    <w:qFormat/>
    <w:rsid w:val="00371214"/>
    <w:pPr>
      <w:keepNext/>
      <w:keepLines/>
      <w:spacing w:after="290" w:before="280" w:line="376" w:lineRule="auto"/>
      <w:outlineLvl w:val="3"/>
    </w:pPr>
    <w:rPr>
      <w:rFonts w:asciiTheme="majorHAnsi" w:cstheme="majorBidi" w:eastAsia="黑体" w:hAnsiTheme="majorHAnsi"/>
      <w:bCs/>
      <w:szCs w:val="28"/>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customStyle="1" w:styleId="a0" w:type="paragraph">
    <w:name w:val="表格题注"/>
    <w:next w:val="a1"/>
    <w:pPr>
      <w:keepLines/>
      <w:numPr>
        <w:ilvl w:val="8"/>
        <w:numId w:val="5"/>
      </w:numPr>
      <w:spacing w:beforeLines="100"/>
      <w:ind w:hanging="369" w:left="1089"/>
      <w:jc w:val="center"/>
    </w:pPr>
    <w:rPr>
      <w:rFonts w:ascii="Arial" w:hAnsi="Arial"/>
      <w:sz w:val="18"/>
      <w:szCs w:val="18"/>
    </w:rPr>
  </w:style>
  <w:style w:customStyle="1" w:styleId="a5" w:type="paragraph">
    <w:name w:val="表格文本"/>
    <w:pPr>
      <w:tabs>
        <w:tab w:pos="0" w:val="decimal"/>
      </w:tabs>
    </w:pPr>
    <w:rPr>
      <w:rFonts w:ascii="Arial" w:hAnsi="Arial"/>
      <w:noProof/>
      <w:sz w:val="21"/>
      <w:szCs w:val="21"/>
    </w:rPr>
  </w:style>
  <w:style w:customStyle="1" w:styleId="a6" w:type="paragraph">
    <w:name w:val="表头文本"/>
    <w:pPr>
      <w:jc w:val="center"/>
    </w:pPr>
    <w:rPr>
      <w:rFonts w:ascii="Arial" w:hAnsi="Arial"/>
      <w:b/>
      <w:sz w:val="21"/>
      <w:szCs w:val="21"/>
    </w:rPr>
  </w:style>
  <w:style w:customStyle="1" w:styleId="a7" w:type="table">
    <w:name w:val="表样式"/>
    <w:basedOn w:val="a3"/>
    <w:pPr>
      <w:jc w:val="both"/>
    </w:pPr>
    <w:rPr>
      <w:sz w:val="18"/>
      <w:szCs w:val="18"/>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vAlign w:val="center"/>
    </w:tcPr>
  </w:style>
  <w:style w:customStyle="1" w:styleId="a" w:type="paragraph">
    <w:name w:val="插图题注"/>
    <w:next w:val="a1"/>
    <w:pPr>
      <w:numPr>
        <w:ilvl w:val="7"/>
        <w:numId w:val="5"/>
      </w:numPr>
      <w:spacing w:afterLines="100"/>
      <w:ind w:hanging="369" w:left="1089"/>
      <w:jc w:val="center"/>
    </w:pPr>
    <w:rPr>
      <w:rFonts w:ascii="Arial" w:hAnsi="Arial"/>
      <w:sz w:val="18"/>
      <w:szCs w:val="18"/>
    </w:rPr>
  </w:style>
  <w:style w:customStyle="1" w:styleId="a8" w:type="paragraph">
    <w:name w:val="图样式"/>
    <w:basedOn w:val="a1"/>
    <w:pPr>
      <w:keepNext/>
      <w:widowControl/>
      <w:spacing w:after="80" w:before="80"/>
      <w:jc w:val="center"/>
    </w:pPr>
  </w:style>
  <w:style w:customStyle="1" w:styleId="a9" w:type="paragraph">
    <w:name w:val="文档标题"/>
    <w:basedOn w:val="a1"/>
    <w:pPr>
      <w:tabs>
        <w:tab w:pos="0" w:val="left"/>
      </w:tabs>
      <w:spacing w:after="300" w:before="300"/>
      <w:jc w:val="center"/>
    </w:pPr>
    <w:rPr>
      <w:rFonts w:ascii="Arial" w:eastAsia="黑体" w:hAnsi="Arial"/>
      <w:sz w:val="36"/>
      <w:szCs w:val="36"/>
    </w:rPr>
  </w:style>
  <w:style w:styleId="aa" w:type="paragraph">
    <w:name w:val="footer"/>
    <w:link w:val="ab"/>
    <w:uiPriority w:val="99"/>
    <w:pPr>
      <w:tabs>
        <w:tab w:pos="4510" w:val="center"/>
        <w:tab w:pos="9020" w:val="right"/>
      </w:tabs>
    </w:pPr>
    <w:rPr>
      <w:rFonts w:ascii="Arial" w:hAnsi="Arial"/>
      <w:sz w:val="18"/>
      <w:szCs w:val="18"/>
    </w:rPr>
  </w:style>
  <w:style w:styleId="ac" w:type="paragraph">
    <w:name w:val="header"/>
    <w:link w:val="ad"/>
    <w:uiPriority w:val="99"/>
    <w:pPr>
      <w:tabs>
        <w:tab w:pos="4153" w:val="center"/>
        <w:tab w:pos="8306" w:val="right"/>
      </w:tabs>
      <w:snapToGrid w:val="0"/>
      <w:jc w:val="both"/>
    </w:pPr>
    <w:rPr>
      <w:rFonts w:ascii="Arial" w:hAnsi="Arial"/>
      <w:sz w:val="18"/>
      <w:szCs w:val="18"/>
    </w:rPr>
  </w:style>
  <w:style w:customStyle="1" w:styleId="ae" w:type="paragraph">
    <w:name w:val="正文（首行不缩进）"/>
    <w:basedOn w:val="a1"/>
  </w:style>
  <w:style w:customStyle="1" w:styleId="af" w:type="paragraph">
    <w:name w:val="注示头"/>
    <w:basedOn w:val="a1"/>
    <w:pPr>
      <w:pBdr>
        <w:top w:color="000000" w:space="1" w:sz="4" w:val="single"/>
      </w:pBdr>
      <w:jc w:val="both"/>
    </w:pPr>
    <w:rPr>
      <w:rFonts w:ascii="Arial" w:eastAsia="黑体" w:hAnsi="Arial"/>
      <w:sz w:val="18"/>
    </w:rPr>
  </w:style>
  <w:style w:customStyle="1" w:styleId="af0" w:type="paragraph">
    <w:name w:val="注示文本"/>
    <w:basedOn w:val="a1"/>
    <w:pPr>
      <w:pBdr>
        <w:bottom w:color="000000" w:space="1" w:sz="4" w:val="single"/>
      </w:pBdr>
      <w:ind w:firstLine="360"/>
      <w:jc w:val="both"/>
    </w:pPr>
    <w:rPr>
      <w:rFonts w:ascii="Arial" w:eastAsia="楷体_GB2312" w:hAnsi="Arial"/>
      <w:sz w:val="18"/>
      <w:szCs w:val="18"/>
    </w:rPr>
  </w:style>
  <w:style w:customStyle="1" w:styleId="af1" w:type="paragraph">
    <w:name w:val="编写建议"/>
    <w:basedOn w:val="a1"/>
    <w:pPr>
      <w:ind w:firstLine="420"/>
    </w:pPr>
    <w:rPr>
      <w:rFonts w:ascii="Arial" w:cs="Arial" w:hAnsi="Arial"/>
      <w:i/>
      <w:color w:val="0000FF"/>
    </w:rPr>
  </w:style>
  <w:style w:styleId="af2" w:type="table">
    <w:name w:val="Table Grid"/>
    <w:basedOn w:val="a3"/>
    <w:pPr>
      <w:widowControl w:val="0"/>
      <w:autoSpaceDE w:val="0"/>
      <w:autoSpaceDN w:val="0"/>
      <w:adjustRightInd w:val="0"/>
      <w:spacing w:line="36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af3" w:type="character">
    <w:name w:val="样式一"/>
    <w:basedOn w:val="a2"/>
    <w:rPr>
      <w:rFonts w:ascii="宋体" w:hAnsi="宋体"/>
      <w:b/>
      <w:bCs/>
      <w:color w:val="000000"/>
      <w:sz w:val="36"/>
    </w:rPr>
  </w:style>
  <w:style w:customStyle="1" w:styleId="af4" w:type="character">
    <w:name w:val="样式二"/>
    <w:basedOn w:val="af3"/>
    <w:rPr>
      <w:rFonts w:ascii="宋体" w:hAnsi="宋体"/>
      <w:b/>
      <w:bCs/>
      <w:color w:val="000000"/>
      <w:sz w:val="36"/>
    </w:rPr>
  </w:style>
  <w:style w:styleId="af5" w:type="paragraph">
    <w:name w:val="Balloon Text"/>
    <w:basedOn w:val="a1"/>
    <w:link w:val="af6"/>
    <w:pPr>
      <w:spacing w:line="240" w:lineRule="auto"/>
    </w:pPr>
    <w:rPr>
      <w:sz w:val="18"/>
      <w:szCs w:val="18"/>
    </w:rPr>
  </w:style>
  <w:style w:customStyle="1" w:styleId="af6" w:type="character">
    <w:name w:val="批注框文本 字符"/>
    <w:basedOn w:val="a2"/>
    <w:link w:val="af5"/>
    <w:rPr>
      <w:snapToGrid w:val="0"/>
      <w:sz w:val="18"/>
      <w:szCs w:val="18"/>
    </w:rPr>
  </w:style>
  <w:style w:styleId="af7" w:type="paragraph">
    <w:name w:val="List Paragraph"/>
    <w:basedOn w:val="a1"/>
    <w:uiPriority w:val="34"/>
    <w:qFormat/>
    <w:rsid w:val="0075012D"/>
    <w:pPr>
      <w:ind w:firstLine="420" w:firstLineChars="200"/>
    </w:pPr>
  </w:style>
  <w:style w:styleId="af8" w:type="paragraph">
    <w:name w:val="Title"/>
    <w:basedOn w:val="a1"/>
    <w:next w:val="a1"/>
    <w:link w:val="af9"/>
    <w:qFormat/>
    <w:rsid w:val="00FF42E9"/>
    <w:pPr>
      <w:spacing w:after="60" w:before="240"/>
      <w:jc w:val="center"/>
      <w:outlineLvl w:val="0"/>
    </w:pPr>
    <w:rPr>
      <w:rFonts w:asciiTheme="majorHAnsi" w:cstheme="majorBidi" w:hAnsiTheme="majorHAnsi"/>
      <w:b/>
      <w:bCs/>
      <w:sz w:val="32"/>
      <w:szCs w:val="32"/>
    </w:rPr>
  </w:style>
  <w:style w:customStyle="1" w:styleId="af9" w:type="character">
    <w:name w:val="标题 字符"/>
    <w:basedOn w:val="a2"/>
    <w:link w:val="af8"/>
    <w:rsid w:val="00FF42E9"/>
    <w:rPr>
      <w:rFonts w:asciiTheme="majorHAnsi" w:cstheme="majorBidi" w:hAnsiTheme="majorHAnsi"/>
      <w:b/>
      <w:bCs/>
      <w:snapToGrid w:val="0"/>
      <w:sz w:val="32"/>
      <w:szCs w:val="32"/>
    </w:rPr>
  </w:style>
  <w:style w:styleId="afa" w:type="paragraph">
    <w:name w:val="Subtitle"/>
    <w:basedOn w:val="a1"/>
    <w:next w:val="a1"/>
    <w:link w:val="afb"/>
    <w:qFormat/>
    <w:rsid w:val="00FF42E9"/>
    <w:pPr>
      <w:spacing w:after="60" w:before="240" w:line="312" w:lineRule="auto"/>
      <w:jc w:val="center"/>
      <w:outlineLvl w:val="1"/>
    </w:pPr>
    <w:rPr>
      <w:rFonts w:asciiTheme="majorHAnsi" w:cstheme="majorBidi" w:hAnsiTheme="majorHAnsi"/>
      <w:b/>
      <w:bCs/>
      <w:kern w:val="28"/>
      <w:sz w:val="32"/>
      <w:szCs w:val="32"/>
    </w:rPr>
  </w:style>
  <w:style w:customStyle="1" w:styleId="afb" w:type="character">
    <w:name w:val="副标题 字符"/>
    <w:basedOn w:val="a2"/>
    <w:link w:val="afa"/>
    <w:rsid w:val="00FF42E9"/>
    <w:rPr>
      <w:rFonts w:asciiTheme="majorHAnsi" w:cstheme="majorBidi" w:hAnsiTheme="majorHAnsi"/>
      <w:b/>
      <w:bCs/>
      <w:snapToGrid w:val="0"/>
      <w:kern w:val="28"/>
      <w:sz w:val="32"/>
      <w:szCs w:val="32"/>
    </w:rPr>
  </w:style>
  <w:style w:customStyle="1" w:styleId="ad" w:type="character">
    <w:name w:val="页眉 字符"/>
    <w:basedOn w:val="a2"/>
    <w:link w:val="ac"/>
    <w:uiPriority w:val="99"/>
    <w:rsid w:val="00F741A4"/>
    <w:rPr>
      <w:rFonts w:ascii="Arial" w:hAnsi="Arial"/>
      <w:sz w:val="18"/>
      <w:szCs w:val="18"/>
    </w:rPr>
  </w:style>
  <w:style w:customStyle="1" w:styleId="ab" w:type="character">
    <w:name w:val="页脚 字符"/>
    <w:basedOn w:val="a2"/>
    <w:link w:val="aa"/>
    <w:uiPriority w:val="99"/>
    <w:rsid w:val="00F741A4"/>
    <w:rPr>
      <w:rFonts w:ascii="Arial" w:hAnsi="Arial"/>
      <w:sz w:val="18"/>
      <w:szCs w:val="18"/>
    </w:rPr>
  </w:style>
  <w:style w:customStyle="1" w:styleId="41" w:type="paragraph">
    <w:name w:val="标题4"/>
    <w:next w:val="a1"/>
    <w:link w:val="4Char"/>
    <w:rsid w:val="00CF7452"/>
    <w:rPr>
      <w:rFonts w:eastAsia="黑体"/>
      <w:bCs/>
      <w:snapToGrid w:val="0"/>
      <w:kern w:val="2"/>
      <w:sz w:val="21"/>
      <w:szCs w:val="32"/>
    </w:rPr>
  </w:style>
  <w:style w:customStyle="1" w:styleId="40" w:type="character">
    <w:name w:val="标题 4 字符"/>
    <w:basedOn w:val="a2"/>
    <w:link w:val="4"/>
    <w:rsid w:val="00371214"/>
    <w:rPr>
      <w:rFonts w:asciiTheme="majorHAnsi" w:cstheme="majorBidi" w:eastAsia="黑体" w:hAnsiTheme="majorHAnsi"/>
      <w:bCs/>
      <w:snapToGrid w:val="0"/>
      <w:sz w:val="21"/>
      <w:szCs w:val="28"/>
    </w:rPr>
  </w:style>
  <w:style w:customStyle="1" w:styleId="4Char" w:type="character">
    <w:name w:val="标题4 Char"/>
    <w:basedOn w:val="a2"/>
    <w:link w:val="41"/>
    <w:rsid w:val="00CF7452"/>
    <w:rPr>
      <w:rFonts w:eastAsia="黑体"/>
      <w:bCs/>
      <w:snapToGrid w:val="0"/>
      <w:kern w:val="2"/>
      <w:sz w:val="21"/>
      <w:szCs w:val="32"/>
    </w:rPr>
  </w:style>
  <w:style w:customStyle="1" w:styleId="TableCustom" w:type="table">
    <w:name w:val="TableCustom"/>
    <w:basedOn w:val="a3"/>
    <w:uiPriority w:val="99"/>
    <w:rsid w:val="00765FE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rFonts w:eastAsia="宋体"/>
        <w:b/>
      </w:r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header" Target="header3.xml"/><Relationship Id="rId11" Type="http://schemas.openxmlformats.org/officeDocument/2006/relationships/header" Target="header2.xml"/><Relationship Id="rId12" Type="http://schemas.openxmlformats.org/officeDocument/2006/relationships/footer" Target="footer3.xml"/><Relationship Id="rId13" Type="http://schemas.openxmlformats.org/officeDocument/2006/relationships/footer" Target="footer2.xm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1</Pages>
  <Words>5</Words>
  <Characters>31</Characters>
  <Application>Microsoft Office Word</Application>
  <DocSecurity>0</DocSecurity>
  <Lines>1</Lines>
  <Paragraphs>1</Paragraphs>
  <ScaleCrop>false</ScaleCrop>
  <Company/>
  <LinksUpToDate>false</LinksUpToDate>
  <CharactersWithSpaces>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2025-10-23T03:18:20Z</dcterms:created>
  <dcterms:modified xsi:type="dcterms:W3CDTF">2025-10-23T03:18:20Z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IGC">
    <vt:lpwstr>{"Label": "1", "ContentProducer": "001191320114777023172010000", "ProduceID": "voiceassistant-ae832c06e65f46a9", "ReservedCode1": "{\"SecurityData\":{\"Type\":\"TC260PG\",\"Version\":1,\"Bindings\":[{\"Type\":\"Hash\",\"AlgID\":\"2.16.840.1.101.3.4.2.1\",\"Value\":\"ae832c06e65f46a9d444b65f9de947f37470fef3ae179bf4e45794bc17e61509\"}],\"PrivSD\":[],\"PubSD\":[{\"AlgID\":\"1.2.840.113549.1.1.10\",\"Type\":\"DS\",\"TBSData\":[{\"Type\":\"Bnd\"},{\"Type\":\"Md\"}],\"Signature\":\"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\"}]}}", "ContentPropagator": "001191320114777023172010000", "PropagateID": "voiceassistant-ae832c06e65f46a9"}</vt:lpwstr>
  </property>
</Properties>
</file>