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37760" w14:textId="77777777" w:rsidR="00294E2C" w:rsidRDefault="00294E2C" w:rsidP="00294E2C">
      <w:pPr>
        <w:pStyle w:val="heading2"/>
      </w:pPr>
      <w:r>
        <w:t>Mapping from Patterns to Mechanisms</w:t>
      </w:r>
    </w:p>
    <w:p w14:paraId="51B7A0ED" w14:textId="77777777" w:rsidR="00294E2C" w:rsidRDefault="00294E2C" w:rsidP="00294E2C">
      <w:pPr>
        <w:spacing w:line="240" w:lineRule="auto"/>
        <w:ind w:firstLine="0"/>
      </w:pPr>
      <w:r>
        <w:t>The mechanisms summarize recurring socio-technical dynamics through which Process Mining is bounded, interpreted, and used in an improvement-oriented rather than surveillance-oriented manner.</w:t>
      </w:r>
    </w:p>
    <w:p w14:paraId="0CA5721A" w14:textId="77777777" w:rsidR="00294E2C" w:rsidRPr="00DC4084" w:rsidRDefault="00294E2C" w:rsidP="00294E2C">
      <w:pPr>
        <w:ind w:firstLine="0"/>
      </w:pPr>
    </w:p>
    <w:p w14:paraId="4217064B" w14:textId="77777777" w:rsidR="00294E2C" w:rsidRPr="006A4F6B" w:rsidRDefault="00294E2C" w:rsidP="00294E2C">
      <w:pPr>
        <w:pStyle w:val="Beschriftung"/>
        <w:keepNext/>
        <w:spacing w:after="0"/>
        <w:jc w:val="center"/>
        <w:rPr>
          <w:color w:val="auto"/>
          <w:sz w:val="16"/>
          <w:szCs w:val="16"/>
        </w:rPr>
      </w:pPr>
      <w:r w:rsidRPr="006A4F6B">
        <w:rPr>
          <w:color w:val="auto"/>
          <w:sz w:val="16"/>
          <w:szCs w:val="16"/>
        </w:rPr>
        <w:t xml:space="preserve">Table </w:t>
      </w:r>
      <w:r w:rsidRPr="006A4F6B">
        <w:rPr>
          <w:color w:val="auto"/>
          <w:sz w:val="16"/>
          <w:szCs w:val="16"/>
        </w:rPr>
        <w:fldChar w:fldCharType="begin"/>
      </w:r>
      <w:r w:rsidRPr="006A4F6B">
        <w:rPr>
          <w:color w:val="auto"/>
          <w:sz w:val="16"/>
          <w:szCs w:val="16"/>
        </w:rPr>
        <w:instrText xml:space="preserve"> SEQ Tabelle \* ARABIC </w:instrText>
      </w:r>
      <w:r w:rsidRPr="006A4F6B">
        <w:rPr>
          <w:color w:val="auto"/>
          <w:sz w:val="16"/>
          <w:szCs w:val="16"/>
        </w:rPr>
        <w:fldChar w:fldCharType="separate"/>
      </w:r>
      <w:r>
        <w:rPr>
          <w:noProof/>
          <w:color w:val="auto"/>
          <w:sz w:val="16"/>
          <w:szCs w:val="16"/>
        </w:rPr>
        <w:t>3</w:t>
      </w:r>
      <w:r w:rsidRPr="006A4F6B">
        <w:rPr>
          <w:color w:val="auto"/>
          <w:sz w:val="16"/>
          <w:szCs w:val="16"/>
        </w:rPr>
        <w:fldChar w:fldCharType="end"/>
      </w:r>
      <w:r w:rsidRPr="006A4F6B">
        <w:rPr>
          <w:color w:val="auto"/>
          <w:sz w:val="16"/>
          <w:szCs w:val="16"/>
        </w:rPr>
        <w:t>: Overview of the identified mechanisms and their definitions derived from recurring empirical patterns.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4"/>
        <w:gridCol w:w="6228"/>
      </w:tblGrid>
      <w:tr w:rsidR="00294E2C" w:rsidRPr="009C2FFA" w14:paraId="27D6C356" w14:textId="77777777" w:rsidTr="002B4039">
        <w:tc>
          <w:tcPr>
            <w:tcW w:w="0" w:type="auto"/>
            <w:hideMark/>
          </w:tcPr>
          <w:p w14:paraId="08594397" w14:textId="77777777" w:rsidR="00294E2C" w:rsidRPr="008164E3" w:rsidRDefault="00294E2C" w:rsidP="002B4039">
            <w:pPr>
              <w:spacing w:line="360" w:lineRule="auto"/>
              <w:jc w:val="center"/>
              <w:rPr>
                <w:b/>
                <w:bCs/>
                <w:sz w:val="18"/>
                <w:szCs w:val="18"/>
                <w:lang w:eastAsia="de-DE"/>
              </w:rPr>
            </w:pPr>
            <w:r w:rsidRPr="008164E3">
              <w:rPr>
                <w:b/>
                <w:bCs/>
                <w:sz w:val="18"/>
                <w:szCs w:val="18"/>
                <w:lang w:eastAsia="de-DE"/>
              </w:rPr>
              <w:t>Mechanism</w:t>
            </w:r>
          </w:p>
        </w:tc>
        <w:tc>
          <w:tcPr>
            <w:tcW w:w="0" w:type="auto"/>
            <w:hideMark/>
          </w:tcPr>
          <w:p w14:paraId="6382B140" w14:textId="77777777" w:rsidR="00294E2C" w:rsidRPr="008164E3" w:rsidRDefault="00294E2C" w:rsidP="002B4039">
            <w:pPr>
              <w:spacing w:line="360" w:lineRule="auto"/>
              <w:jc w:val="center"/>
              <w:rPr>
                <w:b/>
                <w:bCs/>
                <w:sz w:val="18"/>
                <w:szCs w:val="18"/>
                <w:lang w:eastAsia="de-DE"/>
              </w:rPr>
            </w:pPr>
            <w:r w:rsidRPr="008164E3">
              <w:rPr>
                <w:b/>
                <w:bCs/>
                <w:sz w:val="18"/>
                <w:szCs w:val="18"/>
                <w:lang w:eastAsia="de-DE"/>
              </w:rPr>
              <w:t>Definition</w:t>
            </w:r>
          </w:p>
        </w:tc>
      </w:tr>
      <w:tr w:rsidR="00294E2C" w:rsidRPr="006065F1" w14:paraId="09B3D852" w14:textId="77777777" w:rsidTr="002B4039">
        <w:tc>
          <w:tcPr>
            <w:tcW w:w="0" w:type="auto"/>
            <w:hideMark/>
          </w:tcPr>
          <w:p w14:paraId="751080F9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b/>
                <w:bCs/>
                <w:sz w:val="16"/>
                <w:szCs w:val="16"/>
                <w:lang w:eastAsia="de-DE"/>
              </w:rPr>
              <w:t>M1 Boundary-Setting (formal governance)</w:t>
            </w:r>
          </w:p>
        </w:tc>
        <w:tc>
          <w:tcPr>
            <w:tcW w:w="0" w:type="auto"/>
            <w:hideMark/>
          </w:tcPr>
          <w:p w14:paraId="1530BC48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sz w:val="16"/>
                <w:szCs w:val="16"/>
              </w:rPr>
              <w:t>The formal delimitation of what may and may not be analyzed or acted upon in Process Mining, preventing individualized monitoring and orienting use toward process improvement.</w:t>
            </w:r>
          </w:p>
        </w:tc>
      </w:tr>
      <w:tr w:rsidR="00294E2C" w:rsidRPr="006065F1" w14:paraId="4B2A2382" w14:textId="77777777" w:rsidTr="002B4039">
        <w:tc>
          <w:tcPr>
            <w:tcW w:w="0" w:type="auto"/>
            <w:hideMark/>
          </w:tcPr>
          <w:p w14:paraId="537E842D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b/>
                <w:bCs/>
                <w:sz w:val="16"/>
                <w:szCs w:val="16"/>
                <w:lang w:eastAsia="de-DE"/>
              </w:rPr>
              <w:t>M2 De-Individualization (aggregation &amp; pseudonymization)</w:t>
            </w:r>
          </w:p>
        </w:tc>
        <w:tc>
          <w:tcPr>
            <w:tcW w:w="0" w:type="auto"/>
            <w:hideMark/>
          </w:tcPr>
          <w:p w14:paraId="37A189A4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sz w:val="16"/>
                <w:szCs w:val="16"/>
                <w:lang w:eastAsia="de-DE"/>
              </w:rPr>
              <w:t>The prevention of individual performance attribution by structurally removing or abstracting individual identifiers through aggregation and/or pseudonymization.</w:t>
            </w:r>
          </w:p>
        </w:tc>
      </w:tr>
      <w:tr w:rsidR="00294E2C" w:rsidRPr="006065F1" w14:paraId="47427757" w14:textId="77777777" w:rsidTr="002B4039">
        <w:tc>
          <w:tcPr>
            <w:tcW w:w="0" w:type="auto"/>
            <w:hideMark/>
          </w:tcPr>
          <w:p w14:paraId="2AA0FE48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b/>
                <w:bCs/>
                <w:sz w:val="16"/>
                <w:szCs w:val="16"/>
                <w:lang w:eastAsia="de-DE"/>
              </w:rPr>
              <w:t>M3 Process Framing (semantic boundary)</w:t>
            </w:r>
          </w:p>
        </w:tc>
        <w:tc>
          <w:tcPr>
            <w:tcW w:w="0" w:type="auto"/>
            <w:hideMark/>
          </w:tcPr>
          <w:p w14:paraId="7D47D1A4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sz w:val="16"/>
                <w:szCs w:val="16"/>
                <w:lang w:eastAsia="de-DE"/>
              </w:rPr>
              <w:t>The consistent interpretation and presentation of Process Mining outputs as indicators of process performance (e.g., bottlenecks, loops), not as assessments of individual behavior.</w:t>
            </w:r>
          </w:p>
        </w:tc>
      </w:tr>
      <w:tr w:rsidR="00294E2C" w:rsidRPr="006065F1" w14:paraId="02A4EFDA" w14:textId="77777777" w:rsidTr="002B4039">
        <w:tc>
          <w:tcPr>
            <w:tcW w:w="0" w:type="auto"/>
            <w:hideMark/>
          </w:tcPr>
          <w:p w14:paraId="5BE91AB2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b/>
                <w:bCs/>
                <w:sz w:val="16"/>
                <w:szCs w:val="16"/>
                <w:lang w:eastAsia="de-DE"/>
              </w:rPr>
              <w:t>M4 Communicative Reframing (interpretation in practice)</w:t>
            </w:r>
          </w:p>
        </w:tc>
        <w:tc>
          <w:tcPr>
            <w:tcW w:w="0" w:type="auto"/>
            <w:hideMark/>
          </w:tcPr>
          <w:p w14:paraId="18B2138E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sz w:val="16"/>
                <w:szCs w:val="16"/>
                <w:lang w:eastAsia="de-DE"/>
              </w:rPr>
              <w:t>The ongoing explanation and contextualization of analytical signals (e.g., KPIs, alerts) to prevent evaluative or surveillance-oriented interpretations.</w:t>
            </w:r>
          </w:p>
        </w:tc>
      </w:tr>
      <w:tr w:rsidR="00294E2C" w:rsidRPr="006065F1" w14:paraId="260BE238" w14:textId="77777777" w:rsidTr="002B4039">
        <w:tc>
          <w:tcPr>
            <w:tcW w:w="0" w:type="auto"/>
            <w:hideMark/>
          </w:tcPr>
          <w:p w14:paraId="0C9239B1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b/>
                <w:bCs/>
                <w:sz w:val="16"/>
                <w:szCs w:val="16"/>
                <w:lang w:eastAsia="de-DE"/>
              </w:rPr>
              <w:t>M5 Cognitive Orientation (early sensemaking support)</w:t>
            </w:r>
          </w:p>
        </w:tc>
        <w:tc>
          <w:tcPr>
            <w:tcW w:w="0" w:type="auto"/>
            <w:hideMark/>
          </w:tcPr>
          <w:p w14:paraId="60BBF752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sz w:val="16"/>
                <w:szCs w:val="16"/>
                <w:lang w:eastAsia="de-DE"/>
              </w:rPr>
              <w:t>The provision of early interpretive guidance (onboarding, walkthroughs, stepwise exposure) that enables users to understand what is analyzed and what conclusions are valid.</w:t>
            </w:r>
          </w:p>
        </w:tc>
      </w:tr>
      <w:tr w:rsidR="00294E2C" w:rsidRPr="006065F1" w14:paraId="099474BF" w14:textId="77777777" w:rsidTr="002B4039">
        <w:tc>
          <w:tcPr>
            <w:tcW w:w="0" w:type="auto"/>
            <w:hideMark/>
          </w:tcPr>
          <w:p w14:paraId="30F235F1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b/>
                <w:bCs/>
                <w:sz w:val="16"/>
                <w:szCs w:val="16"/>
                <w:lang w:eastAsia="de-DE"/>
              </w:rPr>
              <w:t>M6 Transparency for Learning &amp; Steering (constructive use)</w:t>
            </w:r>
          </w:p>
        </w:tc>
        <w:tc>
          <w:tcPr>
            <w:tcW w:w="0" w:type="auto"/>
            <w:hideMark/>
          </w:tcPr>
          <w:p w14:paraId="570C2FD9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sz w:val="16"/>
                <w:szCs w:val="16"/>
                <w:lang w:eastAsia="de-DE"/>
              </w:rPr>
              <w:t>The use of interpretable process KPIs and drill-downs to prioritize, monitor, and learn from process issues rather than to sanction individuals.</w:t>
            </w:r>
          </w:p>
        </w:tc>
      </w:tr>
      <w:tr w:rsidR="00294E2C" w:rsidRPr="006065F1" w14:paraId="46DEAC46" w14:textId="77777777" w:rsidTr="002B4039">
        <w:tc>
          <w:tcPr>
            <w:tcW w:w="0" w:type="auto"/>
            <w:hideMark/>
          </w:tcPr>
          <w:p w14:paraId="1F4F7FDB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b/>
                <w:bCs/>
                <w:sz w:val="16"/>
                <w:szCs w:val="16"/>
                <w:lang w:eastAsia="de-DE"/>
              </w:rPr>
              <w:t>M7 Responsibility Shift (from individuals to structures)</w:t>
            </w:r>
          </w:p>
        </w:tc>
        <w:tc>
          <w:tcPr>
            <w:tcW w:w="0" w:type="auto"/>
            <w:hideMark/>
          </w:tcPr>
          <w:p w14:paraId="47E8BE70" w14:textId="77777777" w:rsidR="00294E2C" w:rsidRPr="008164E3" w:rsidRDefault="00294E2C" w:rsidP="002B4039">
            <w:pPr>
              <w:spacing w:line="360" w:lineRule="auto"/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8164E3">
              <w:rPr>
                <w:sz w:val="16"/>
                <w:szCs w:val="16"/>
                <w:lang w:eastAsia="de-DE"/>
              </w:rPr>
              <w:t>The relocation of accountability from individual workers to process structures and workload drivers, thereby reducing blame and defensiveness in improvement discussions.</w:t>
            </w:r>
          </w:p>
        </w:tc>
      </w:tr>
    </w:tbl>
    <w:p w14:paraId="6783CE3F" w14:textId="77777777" w:rsidR="00294E2C" w:rsidRDefault="00294E2C" w:rsidP="00294E2C"/>
    <w:p w14:paraId="468C3867" w14:textId="77777777" w:rsidR="00294E2C" w:rsidRDefault="00294E2C" w:rsidP="00294E2C"/>
    <w:tbl>
      <w:tblPr>
        <w:tblStyle w:val="Tabellenraster"/>
        <w:tblpPr w:leftFromText="141" w:rightFromText="141" w:vertAnchor="text" w:horzAnchor="page" w:tblpX="2014" w:tblpY="414"/>
        <w:tblW w:w="8359" w:type="dxa"/>
        <w:tblLook w:val="04A0" w:firstRow="1" w:lastRow="0" w:firstColumn="1" w:lastColumn="0" w:noHBand="0" w:noVBand="1"/>
      </w:tblPr>
      <w:tblGrid>
        <w:gridCol w:w="1372"/>
        <w:gridCol w:w="1422"/>
        <w:gridCol w:w="554"/>
        <w:gridCol w:w="981"/>
        <w:gridCol w:w="981"/>
        <w:gridCol w:w="928"/>
        <w:gridCol w:w="981"/>
        <w:gridCol w:w="1140"/>
      </w:tblGrid>
      <w:tr w:rsidR="00294E2C" w:rsidRPr="00E609C2" w14:paraId="57F4D0E0" w14:textId="77777777" w:rsidTr="002B4039">
        <w:trPr>
          <w:trHeight w:val="339"/>
        </w:trPr>
        <w:tc>
          <w:tcPr>
            <w:tcW w:w="0" w:type="auto"/>
            <w:hideMark/>
          </w:tcPr>
          <w:p w14:paraId="0C5CA861" w14:textId="77777777" w:rsidR="00294E2C" w:rsidRPr="00082E59" w:rsidRDefault="00294E2C" w:rsidP="002B4039">
            <w:pPr>
              <w:ind w:firstLine="0"/>
              <w:jc w:val="left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Mechanism (abstract)</w:t>
            </w:r>
          </w:p>
        </w:tc>
        <w:tc>
          <w:tcPr>
            <w:tcW w:w="1949" w:type="dxa"/>
            <w:hideMark/>
          </w:tcPr>
          <w:p w14:paraId="59B4465C" w14:textId="77777777" w:rsidR="00294E2C" w:rsidRPr="00082E59" w:rsidRDefault="00294E2C" w:rsidP="002B4039">
            <w:pPr>
              <w:ind w:firstLine="0"/>
              <w:jc w:val="left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Concrete manifestation in the material</w:t>
            </w:r>
          </w:p>
        </w:tc>
        <w:tc>
          <w:tcPr>
            <w:tcW w:w="554" w:type="dxa"/>
            <w:vAlign w:val="center"/>
            <w:hideMark/>
          </w:tcPr>
          <w:p w14:paraId="73FC2F4E" w14:textId="77777777" w:rsidR="00294E2C" w:rsidRPr="00082E59" w:rsidRDefault="00294E2C" w:rsidP="002B4039">
            <w:pPr>
              <w:ind w:firstLine="0"/>
              <w:jc w:val="center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DP1</w:t>
            </w:r>
          </w:p>
        </w:tc>
        <w:tc>
          <w:tcPr>
            <w:tcW w:w="792" w:type="dxa"/>
            <w:vAlign w:val="center"/>
            <w:hideMark/>
          </w:tcPr>
          <w:p w14:paraId="2CAFB527" w14:textId="77777777" w:rsidR="00294E2C" w:rsidRPr="00082E59" w:rsidRDefault="00294E2C" w:rsidP="002B4039">
            <w:pPr>
              <w:ind w:firstLine="0"/>
              <w:jc w:val="center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DP2</w:t>
            </w:r>
          </w:p>
        </w:tc>
        <w:tc>
          <w:tcPr>
            <w:tcW w:w="781" w:type="dxa"/>
            <w:vAlign w:val="center"/>
            <w:hideMark/>
          </w:tcPr>
          <w:p w14:paraId="6BC56FB5" w14:textId="77777777" w:rsidR="00294E2C" w:rsidRPr="00082E59" w:rsidRDefault="00294E2C" w:rsidP="002B4039">
            <w:pPr>
              <w:ind w:firstLine="0"/>
              <w:jc w:val="center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DP3</w:t>
            </w:r>
          </w:p>
        </w:tc>
        <w:tc>
          <w:tcPr>
            <w:tcW w:w="783" w:type="dxa"/>
            <w:vAlign w:val="center"/>
            <w:hideMark/>
          </w:tcPr>
          <w:p w14:paraId="105B6B18" w14:textId="77777777" w:rsidR="00294E2C" w:rsidRPr="00082E59" w:rsidRDefault="00294E2C" w:rsidP="002B4039">
            <w:pPr>
              <w:ind w:firstLine="0"/>
              <w:jc w:val="center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DP4</w:t>
            </w:r>
          </w:p>
        </w:tc>
        <w:tc>
          <w:tcPr>
            <w:tcW w:w="850" w:type="dxa"/>
            <w:vAlign w:val="center"/>
            <w:hideMark/>
          </w:tcPr>
          <w:p w14:paraId="1E282068" w14:textId="77777777" w:rsidR="00294E2C" w:rsidRPr="00082E59" w:rsidRDefault="00294E2C" w:rsidP="002B4039">
            <w:pPr>
              <w:ind w:firstLine="0"/>
              <w:jc w:val="center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DP5</w:t>
            </w:r>
          </w:p>
        </w:tc>
        <w:tc>
          <w:tcPr>
            <w:tcW w:w="1418" w:type="dxa"/>
            <w:hideMark/>
          </w:tcPr>
          <w:p w14:paraId="04700176" w14:textId="77777777" w:rsidR="00294E2C" w:rsidRPr="00082E59" w:rsidRDefault="00294E2C" w:rsidP="002B4039">
            <w:pPr>
              <w:jc w:val="left"/>
              <w:rPr>
                <w:b/>
                <w:bCs/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Function in the overall model</w:t>
            </w:r>
          </w:p>
        </w:tc>
      </w:tr>
      <w:tr w:rsidR="00294E2C" w:rsidRPr="00E609C2" w14:paraId="0BECE9F8" w14:textId="77777777" w:rsidTr="002B4039">
        <w:trPr>
          <w:trHeight w:val="676"/>
        </w:trPr>
        <w:tc>
          <w:tcPr>
            <w:tcW w:w="0" w:type="auto"/>
            <w:hideMark/>
          </w:tcPr>
          <w:p w14:paraId="65FE0660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M1 Boundary Setting (formal)</w:t>
            </w:r>
          </w:p>
        </w:tc>
        <w:tc>
          <w:tcPr>
            <w:tcW w:w="1949" w:type="dxa"/>
            <w:hideMark/>
          </w:tcPr>
          <w:p w14:paraId="5D478B62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Governance rules, works council, exclusion of individual-level data</w:t>
            </w:r>
          </w:p>
        </w:tc>
        <w:tc>
          <w:tcPr>
            <w:tcW w:w="554" w:type="dxa"/>
            <w:vAlign w:val="center"/>
            <w:hideMark/>
          </w:tcPr>
          <w:p w14:paraId="1CBB07C5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792" w:type="dxa"/>
            <w:vAlign w:val="center"/>
            <w:hideMark/>
          </w:tcPr>
          <w:p w14:paraId="4E25C9E3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Supporting</w:t>
            </w:r>
          </w:p>
        </w:tc>
        <w:tc>
          <w:tcPr>
            <w:tcW w:w="781" w:type="dxa"/>
            <w:vAlign w:val="center"/>
            <w:hideMark/>
          </w:tcPr>
          <w:p w14:paraId="1ABEE195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Indirect</w:t>
            </w:r>
          </w:p>
        </w:tc>
        <w:tc>
          <w:tcPr>
            <w:tcW w:w="783" w:type="dxa"/>
            <w:vAlign w:val="center"/>
            <w:hideMark/>
          </w:tcPr>
          <w:p w14:paraId="27E0DBFC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850" w:type="dxa"/>
            <w:vAlign w:val="center"/>
            <w:hideMark/>
          </w:tcPr>
          <w:p w14:paraId="786417A1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1418" w:type="dxa"/>
            <w:hideMark/>
          </w:tcPr>
          <w:p w14:paraId="32EB6776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Institutional legitimation</w:t>
            </w:r>
          </w:p>
        </w:tc>
      </w:tr>
      <w:tr w:rsidR="00294E2C" w:rsidRPr="00E609C2" w14:paraId="3FC71369" w14:textId="77777777" w:rsidTr="002B4039">
        <w:trPr>
          <w:trHeight w:val="339"/>
        </w:trPr>
        <w:tc>
          <w:tcPr>
            <w:tcW w:w="0" w:type="auto"/>
            <w:hideMark/>
          </w:tcPr>
          <w:p w14:paraId="1AD8893E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M2 De-individualization</w:t>
            </w:r>
          </w:p>
        </w:tc>
        <w:tc>
          <w:tcPr>
            <w:tcW w:w="1949" w:type="dxa"/>
            <w:hideMark/>
          </w:tcPr>
          <w:p w14:paraId="0015C135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Aggregation, pseudonymization</w:t>
            </w:r>
          </w:p>
        </w:tc>
        <w:tc>
          <w:tcPr>
            <w:tcW w:w="554" w:type="dxa"/>
            <w:vAlign w:val="center"/>
            <w:hideMark/>
          </w:tcPr>
          <w:p w14:paraId="5DA1ABC6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792" w:type="dxa"/>
            <w:vAlign w:val="center"/>
            <w:hideMark/>
          </w:tcPr>
          <w:p w14:paraId="1E47BA80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781" w:type="dxa"/>
            <w:vAlign w:val="center"/>
            <w:hideMark/>
          </w:tcPr>
          <w:p w14:paraId="40CA935F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Prerequisite</w:t>
            </w:r>
          </w:p>
        </w:tc>
        <w:tc>
          <w:tcPr>
            <w:tcW w:w="783" w:type="dxa"/>
            <w:vAlign w:val="center"/>
            <w:hideMark/>
          </w:tcPr>
          <w:p w14:paraId="3684794E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850" w:type="dxa"/>
            <w:vAlign w:val="center"/>
            <w:hideMark/>
          </w:tcPr>
          <w:p w14:paraId="132E7E5B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Prerequisite</w:t>
            </w:r>
          </w:p>
        </w:tc>
        <w:tc>
          <w:tcPr>
            <w:tcW w:w="1418" w:type="dxa"/>
            <w:hideMark/>
          </w:tcPr>
          <w:p w14:paraId="79B21470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Protection against EPM</w:t>
            </w:r>
          </w:p>
        </w:tc>
      </w:tr>
      <w:tr w:rsidR="00294E2C" w:rsidRPr="00E609C2" w14:paraId="627B993C" w14:textId="77777777" w:rsidTr="002B4039">
        <w:trPr>
          <w:trHeight w:val="339"/>
        </w:trPr>
        <w:tc>
          <w:tcPr>
            <w:tcW w:w="0" w:type="auto"/>
            <w:hideMark/>
          </w:tcPr>
          <w:p w14:paraId="53406D66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M3 Semantic Framing</w:t>
            </w:r>
          </w:p>
        </w:tc>
        <w:tc>
          <w:tcPr>
            <w:tcW w:w="1949" w:type="dxa"/>
            <w:hideMark/>
          </w:tcPr>
          <w:p w14:paraId="69B1BC1E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Process signals instead of individual behavior</w:t>
            </w:r>
          </w:p>
        </w:tc>
        <w:tc>
          <w:tcPr>
            <w:tcW w:w="554" w:type="dxa"/>
            <w:vAlign w:val="center"/>
            <w:hideMark/>
          </w:tcPr>
          <w:p w14:paraId="628AB179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792" w:type="dxa"/>
            <w:vAlign w:val="center"/>
            <w:hideMark/>
          </w:tcPr>
          <w:p w14:paraId="7DC76258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Implicit</w:t>
            </w:r>
          </w:p>
        </w:tc>
        <w:tc>
          <w:tcPr>
            <w:tcW w:w="781" w:type="dxa"/>
            <w:vAlign w:val="center"/>
            <w:hideMark/>
          </w:tcPr>
          <w:p w14:paraId="6514BFAE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783" w:type="dxa"/>
            <w:vAlign w:val="center"/>
            <w:hideMark/>
          </w:tcPr>
          <w:p w14:paraId="680A5DD6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Supporting</w:t>
            </w:r>
          </w:p>
        </w:tc>
        <w:tc>
          <w:tcPr>
            <w:tcW w:w="850" w:type="dxa"/>
            <w:vAlign w:val="center"/>
            <w:hideMark/>
          </w:tcPr>
          <w:p w14:paraId="70BEBC99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Prerequisite</w:t>
            </w:r>
          </w:p>
        </w:tc>
        <w:tc>
          <w:tcPr>
            <w:tcW w:w="1418" w:type="dxa"/>
            <w:hideMark/>
          </w:tcPr>
          <w:p w14:paraId="60561BF6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 xml:space="preserve">Meaning-making / </w:t>
            </w:r>
            <w:proofErr w:type="spellStart"/>
            <w:r w:rsidRPr="00082E59">
              <w:rPr>
                <w:sz w:val="16"/>
                <w:szCs w:val="16"/>
                <w:lang w:eastAsia="de-DE"/>
              </w:rPr>
              <w:t>sensegiving</w:t>
            </w:r>
            <w:proofErr w:type="spellEnd"/>
          </w:p>
        </w:tc>
      </w:tr>
      <w:tr w:rsidR="00294E2C" w:rsidRPr="00E609C2" w14:paraId="7A06BB1E" w14:textId="77777777" w:rsidTr="002B4039">
        <w:trPr>
          <w:trHeight w:val="339"/>
        </w:trPr>
        <w:tc>
          <w:tcPr>
            <w:tcW w:w="0" w:type="auto"/>
            <w:hideMark/>
          </w:tcPr>
          <w:p w14:paraId="3AB29014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M4 Communicative Embedding</w:t>
            </w:r>
          </w:p>
        </w:tc>
        <w:tc>
          <w:tcPr>
            <w:tcW w:w="1949" w:type="dxa"/>
            <w:hideMark/>
          </w:tcPr>
          <w:p w14:paraId="6F4E1DB7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Explanation, reframing, dialogue</w:t>
            </w:r>
          </w:p>
        </w:tc>
        <w:tc>
          <w:tcPr>
            <w:tcW w:w="554" w:type="dxa"/>
            <w:vAlign w:val="center"/>
            <w:hideMark/>
          </w:tcPr>
          <w:p w14:paraId="22D6D624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792" w:type="dxa"/>
            <w:vAlign w:val="center"/>
            <w:hideMark/>
          </w:tcPr>
          <w:p w14:paraId="26E1E2D8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Supporting</w:t>
            </w:r>
          </w:p>
        </w:tc>
        <w:tc>
          <w:tcPr>
            <w:tcW w:w="781" w:type="dxa"/>
            <w:vAlign w:val="center"/>
            <w:hideMark/>
          </w:tcPr>
          <w:p w14:paraId="42C8420C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783" w:type="dxa"/>
            <w:vAlign w:val="center"/>
            <w:hideMark/>
          </w:tcPr>
          <w:p w14:paraId="179AAE70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850" w:type="dxa"/>
            <w:vAlign w:val="center"/>
            <w:hideMark/>
          </w:tcPr>
          <w:p w14:paraId="2422BDA1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Supporting</w:t>
            </w:r>
          </w:p>
        </w:tc>
        <w:tc>
          <w:tcPr>
            <w:tcW w:w="1418" w:type="dxa"/>
            <w:hideMark/>
          </w:tcPr>
          <w:p w14:paraId="63D19324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proofErr w:type="spellStart"/>
            <w:r w:rsidRPr="00082E59">
              <w:rPr>
                <w:sz w:val="16"/>
                <w:szCs w:val="16"/>
                <w:lang w:eastAsia="de-DE"/>
              </w:rPr>
              <w:t>Deescalation</w:t>
            </w:r>
            <w:proofErr w:type="spellEnd"/>
            <w:r w:rsidRPr="00082E59">
              <w:rPr>
                <w:sz w:val="16"/>
                <w:szCs w:val="16"/>
                <w:lang w:eastAsia="de-DE"/>
              </w:rPr>
              <w:t xml:space="preserve"> &amp; sensemaking</w:t>
            </w:r>
          </w:p>
        </w:tc>
      </w:tr>
      <w:tr w:rsidR="00294E2C" w:rsidRPr="00E609C2" w14:paraId="0459580B" w14:textId="77777777" w:rsidTr="002B4039">
        <w:trPr>
          <w:trHeight w:val="676"/>
        </w:trPr>
        <w:tc>
          <w:tcPr>
            <w:tcW w:w="0" w:type="auto"/>
            <w:hideMark/>
          </w:tcPr>
          <w:p w14:paraId="6F457571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M5 Cognitive Orientation</w:t>
            </w:r>
          </w:p>
        </w:tc>
        <w:tc>
          <w:tcPr>
            <w:tcW w:w="1949" w:type="dxa"/>
            <w:hideMark/>
          </w:tcPr>
          <w:p w14:paraId="56B76084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Onboarding, walkthroughs, stepwise introduction</w:t>
            </w:r>
          </w:p>
        </w:tc>
        <w:tc>
          <w:tcPr>
            <w:tcW w:w="554" w:type="dxa"/>
            <w:vAlign w:val="center"/>
            <w:hideMark/>
          </w:tcPr>
          <w:p w14:paraId="53FE9A85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792" w:type="dxa"/>
            <w:vAlign w:val="center"/>
            <w:hideMark/>
          </w:tcPr>
          <w:p w14:paraId="697AAFBD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781" w:type="dxa"/>
            <w:vAlign w:val="center"/>
            <w:hideMark/>
          </w:tcPr>
          <w:p w14:paraId="22B4D42E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Indirect</w:t>
            </w:r>
          </w:p>
        </w:tc>
        <w:tc>
          <w:tcPr>
            <w:tcW w:w="783" w:type="dxa"/>
            <w:vAlign w:val="center"/>
            <w:hideMark/>
          </w:tcPr>
          <w:p w14:paraId="0E3CBF7B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850" w:type="dxa"/>
            <w:vAlign w:val="center"/>
            <w:hideMark/>
          </w:tcPr>
          <w:p w14:paraId="4B8A9232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Prerequisite</w:t>
            </w:r>
          </w:p>
        </w:tc>
        <w:tc>
          <w:tcPr>
            <w:tcW w:w="1418" w:type="dxa"/>
            <w:hideMark/>
          </w:tcPr>
          <w:p w14:paraId="1E177111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Appropriation capability</w:t>
            </w:r>
          </w:p>
        </w:tc>
      </w:tr>
      <w:tr w:rsidR="00294E2C" w:rsidRPr="00E609C2" w14:paraId="103F12A4" w14:textId="77777777" w:rsidTr="002B4039">
        <w:trPr>
          <w:trHeight w:val="339"/>
        </w:trPr>
        <w:tc>
          <w:tcPr>
            <w:tcW w:w="0" w:type="auto"/>
            <w:hideMark/>
          </w:tcPr>
          <w:p w14:paraId="729360AE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M6 Transparency for Learning</w:t>
            </w:r>
          </w:p>
        </w:tc>
        <w:tc>
          <w:tcPr>
            <w:tcW w:w="1949" w:type="dxa"/>
            <w:hideMark/>
          </w:tcPr>
          <w:p w14:paraId="1AF0E661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KPIs, drill-down, prioritization</w:t>
            </w:r>
          </w:p>
        </w:tc>
        <w:tc>
          <w:tcPr>
            <w:tcW w:w="554" w:type="dxa"/>
            <w:vAlign w:val="center"/>
            <w:hideMark/>
          </w:tcPr>
          <w:p w14:paraId="26C2D1C2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792" w:type="dxa"/>
            <w:vAlign w:val="center"/>
            <w:hideMark/>
          </w:tcPr>
          <w:p w14:paraId="1AF5D400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Prerequisite</w:t>
            </w:r>
          </w:p>
        </w:tc>
        <w:tc>
          <w:tcPr>
            <w:tcW w:w="781" w:type="dxa"/>
            <w:vAlign w:val="center"/>
            <w:hideMark/>
          </w:tcPr>
          <w:p w14:paraId="63D2B347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Prerequisite</w:t>
            </w:r>
          </w:p>
        </w:tc>
        <w:tc>
          <w:tcPr>
            <w:tcW w:w="783" w:type="dxa"/>
            <w:vAlign w:val="center"/>
            <w:hideMark/>
          </w:tcPr>
          <w:p w14:paraId="25349C3D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850" w:type="dxa"/>
            <w:vAlign w:val="center"/>
            <w:hideMark/>
          </w:tcPr>
          <w:p w14:paraId="6E5A83C9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1418" w:type="dxa"/>
            <w:hideMark/>
          </w:tcPr>
          <w:p w14:paraId="217E95A1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Value realization</w:t>
            </w:r>
          </w:p>
        </w:tc>
      </w:tr>
      <w:tr w:rsidR="00294E2C" w:rsidRPr="00E609C2" w14:paraId="3BCCBCEA" w14:textId="77777777" w:rsidTr="002B4039">
        <w:trPr>
          <w:trHeight w:val="676"/>
        </w:trPr>
        <w:tc>
          <w:tcPr>
            <w:tcW w:w="0" w:type="auto"/>
            <w:hideMark/>
          </w:tcPr>
          <w:p w14:paraId="5EBAC630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M7 Responsibility Shift</w:t>
            </w:r>
          </w:p>
        </w:tc>
        <w:tc>
          <w:tcPr>
            <w:tcW w:w="1949" w:type="dxa"/>
            <w:hideMark/>
          </w:tcPr>
          <w:p w14:paraId="3E520A83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Processes instead of individuals, structural causes</w:t>
            </w:r>
          </w:p>
        </w:tc>
        <w:tc>
          <w:tcPr>
            <w:tcW w:w="554" w:type="dxa"/>
            <w:vAlign w:val="center"/>
            <w:hideMark/>
          </w:tcPr>
          <w:p w14:paraId="6C6A0CB8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792" w:type="dxa"/>
            <w:vAlign w:val="center"/>
            <w:hideMark/>
          </w:tcPr>
          <w:p w14:paraId="3B76D379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Prerequisite</w:t>
            </w:r>
          </w:p>
        </w:tc>
        <w:tc>
          <w:tcPr>
            <w:tcW w:w="781" w:type="dxa"/>
            <w:vAlign w:val="center"/>
            <w:hideMark/>
          </w:tcPr>
          <w:p w14:paraId="589BA0B2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783" w:type="dxa"/>
            <w:vAlign w:val="center"/>
            <w:hideMark/>
          </w:tcPr>
          <w:p w14:paraId="6570C166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—</w:t>
            </w:r>
          </w:p>
        </w:tc>
        <w:tc>
          <w:tcPr>
            <w:tcW w:w="850" w:type="dxa"/>
            <w:vAlign w:val="center"/>
            <w:hideMark/>
          </w:tcPr>
          <w:p w14:paraId="31B8661C" w14:textId="77777777" w:rsidR="00294E2C" w:rsidRPr="00082E59" w:rsidRDefault="00294E2C" w:rsidP="002B4039">
            <w:pPr>
              <w:ind w:firstLine="0"/>
              <w:jc w:val="center"/>
              <w:rPr>
                <w:sz w:val="16"/>
                <w:szCs w:val="16"/>
                <w:lang w:eastAsia="de-DE"/>
              </w:rPr>
            </w:pPr>
            <w:r w:rsidRPr="00082E59">
              <w:rPr>
                <w:b/>
                <w:bCs/>
                <w:sz w:val="16"/>
                <w:szCs w:val="16"/>
                <w:lang w:eastAsia="de-DE"/>
              </w:rPr>
              <w:t>Core</w:t>
            </w:r>
          </w:p>
        </w:tc>
        <w:tc>
          <w:tcPr>
            <w:tcW w:w="1418" w:type="dxa"/>
            <w:hideMark/>
          </w:tcPr>
          <w:p w14:paraId="0A3203E9" w14:textId="77777777" w:rsidR="00294E2C" w:rsidRPr="00082E59" w:rsidRDefault="00294E2C" w:rsidP="002B4039">
            <w:pPr>
              <w:ind w:firstLine="0"/>
              <w:jc w:val="left"/>
              <w:rPr>
                <w:sz w:val="16"/>
                <w:szCs w:val="16"/>
                <w:lang w:eastAsia="de-DE"/>
              </w:rPr>
            </w:pPr>
            <w:r w:rsidRPr="00082E59">
              <w:rPr>
                <w:sz w:val="16"/>
                <w:szCs w:val="16"/>
                <w:lang w:eastAsia="de-DE"/>
              </w:rPr>
              <w:t>Reduction of blame attribution</w:t>
            </w:r>
          </w:p>
        </w:tc>
      </w:tr>
    </w:tbl>
    <w:p w14:paraId="38782A7C" w14:textId="77777777" w:rsidR="00294E2C" w:rsidRPr="0022375A" w:rsidRDefault="00294E2C" w:rsidP="00294E2C">
      <w:pPr>
        <w:pStyle w:val="Beschriftung"/>
        <w:keepNext/>
        <w:jc w:val="center"/>
        <w:rPr>
          <w:color w:val="auto"/>
          <w:sz w:val="16"/>
          <w:szCs w:val="16"/>
        </w:rPr>
      </w:pPr>
      <w:r w:rsidRPr="0022375A">
        <w:rPr>
          <w:color w:val="auto"/>
          <w:sz w:val="16"/>
          <w:szCs w:val="16"/>
        </w:rPr>
        <w:t xml:space="preserve"> Table </w:t>
      </w:r>
      <w:r w:rsidRPr="0022375A">
        <w:rPr>
          <w:color w:val="auto"/>
          <w:sz w:val="16"/>
          <w:szCs w:val="16"/>
        </w:rPr>
        <w:fldChar w:fldCharType="begin"/>
      </w:r>
      <w:r w:rsidRPr="0022375A">
        <w:rPr>
          <w:color w:val="auto"/>
          <w:sz w:val="16"/>
          <w:szCs w:val="16"/>
        </w:rPr>
        <w:instrText xml:space="preserve"> SEQ Tabelle \* ARABIC </w:instrText>
      </w:r>
      <w:r w:rsidRPr="0022375A">
        <w:rPr>
          <w:color w:val="auto"/>
          <w:sz w:val="16"/>
          <w:szCs w:val="16"/>
        </w:rPr>
        <w:fldChar w:fldCharType="separate"/>
      </w:r>
      <w:r>
        <w:rPr>
          <w:noProof/>
          <w:color w:val="auto"/>
          <w:sz w:val="16"/>
          <w:szCs w:val="16"/>
        </w:rPr>
        <w:t>4</w:t>
      </w:r>
      <w:r w:rsidRPr="0022375A">
        <w:rPr>
          <w:color w:val="auto"/>
          <w:sz w:val="16"/>
          <w:szCs w:val="16"/>
        </w:rPr>
        <w:fldChar w:fldCharType="end"/>
      </w:r>
      <w:r w:rsidRPr="0022375A">
        <w:rPr>
          <w:color w:val="auto"/>
          <w:sz w:val="16"/>
          <w:szCs w:val="16"/>
        </w:rPr>
        <w:t>: Assignment of mechanisms to design principles (DP1–DP5) and their functional role in the overall model.</w:t>
      </w:r>
    </w:p>
    <w:p w14:paraId="7502A9D7" w14:textId="77777777" w:rsidR="00294E2C" w:rsidRDefault="00294E2C" w:rsidP="00294E2C">
      <w:pPr>
        <w:ind w:firstLine="0"/>
      </w:pPr>
    </w:p>
    <w:p w14:paraId="27FEF84A" w14:textId="77777777" w:rsidR="004A5D8A" w:rsidRDefault="004A5D8A"/>
    <w:sectPr w:rsidR="004A5D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2C"/>
    <w:rsid w:val="00294E2C"/>
    <w:rsid w:val="004A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8361"/>
  <w15:chartTrackingRefBased/>
  <w15:docId w15:val="{7E3E566C-252C-4995-B113-456988D2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4E2C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1">
    <w:name w:val="heading1"/>
    <w:basedOn w:val="Standard"/>
    <w:next w:val="Standard"/>
    <w:qFormat/>
    <w:rsid w:val="00294E2C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Standard"/>
    <w:next w:val="Standard"/>
    <w:qFormat/>
    <w:rsid w:val="00294E2C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numbering" w:customStyle="1" w:styleId="headings">
    <w:name w:val="headings"/>
    <w:basedOn w:val="KeineListe"/>
    <w:rsid w:val="00294E2C"/>
    <w:pPr>
      <w:numPr>
        <w:numId w:val="1"/>
      </w:numPr>
    </w:pPr>
  </w:style>
  <w:style w:type="table" w:styleId="Tabellenraster">
    <w:name w:val="Table Grid"/>
    <w:basedOn w:val="NormaleTabelle"/>
    <w:uiPriority w:val="39"/>
    <w:rsid w:val="00294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nhideWhenUsed/>
    <w:rsid w:val="00294E2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2878B2D42CFC48B30B0B2707E8D0BE" ma:contentTypeVersion="13" ma:contentTypeDescription="Ein neues Dokument erstellen." ma:contentTypeScope="" ma:versionID="f0e098f086c30013007d88bc5d745d0f">
  <xsd:schema xmlns:xsd="http://www.w3.org/2001/XMLSchema" xmlns:xs="http://www.w3.org/2001/XMLSchema" xmlns:p="http://schemas.microsoft.com/office/2006/metadata/properties" xmlns:ns2="9bb1a9d2-1f4c-4bbb-9dee-de7a3077e8b9" xmlns:ns3="20063119-b071-4bfd-83a7-c8ea7ae6d10d" targetNamespace="http://schemas.microsoft.com/office/2006/metadata/properties" ma:root="true" ma:fieldsID="54cec49cf543992528f5c64df910d9c6" ns2:_="" ns3:_="">
    <xsd:import namespace="9bb1a9d2-1f4c-4bbb-9dee-de7a3077e8b9"/>
    <xsd:import namespace="20063119-b071-4bfd-83a7-c8ea7ae6d1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1a9d2-1f4c-4bbb-9dee-de7a3077e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63119-b071-4bfd-83a7-c8ea7ae6d10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f1889b3-47b3-458f-98b3-e87ccccec2eb}" ma:internalName="TaxCatchAll" ma:showField="CatchAllData" ma:web="20063119-b071-4bfd-83a7-c8ea7ae6d1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063119-b071-4bfd-83a7-c8ea7ae6d10d" xsi:nil="true"/>
    <lcf76f155ced4ddcb4097134ff3c332f xmlns="9bb1a9d2-1f4c-4bbb-9dee-de7a3077e8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4102C3-92E1-4151-910D-F338E28B4372}"/>
</file>

<file path=customXml/itemProps2.xml><?xml version="1.0" encoding="utf-8"?>
<ds:datastoreItem xmlns:ds="http://schemas.openxmlformats.org/officeDocument/2006/customXml" ds:itemID="{D86529D4-8664-4AAF-9FBA-F2B9AA533179}"/>
</file>

<file path=customXml/itemProps3.xml><?xml version="1.0" encoding="utf-8"?>
<ds:datastoreItem xmlns:ds="http://schemas.openxmlformats.org/officeDocument/2006/customXml" ds:itemID="{9D1A051D-69AB-4F59-BEC9-772E803C6A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Jannis Nacke</dc:creator>
  <cp:keywords/>
  <dc:description/>
  <cp:lastModifiedBy>Jannis Nacke</cp:lastModifiedBy>
  <cp:revision>1</cp:revision>
  <dcterms:created xsi:type="dcterms:W3CDTF">2026-04-10T06:14:00Z</dcterms:created>
  <dcterms:modified xsi:type="dcterms:W3CDTF">2026-04-10T06:15:00Z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0x010100682878B2D42CFC48B30B0B2707E8D0BE</vt:lpwstr>
  </property>
</Properties>
</file>