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 (PRD)</w:t>
      </w:r>
    </w:p>
    <w:p>
      <w:pPr>
        <w:jc w:val="center"/>
      </w:pPr>
      <w:r>
        <w:rPr>
          <w:b/>
          <w:sz w:val="28"/>
        </w:rPr>
        <w:t>Project: Arch-Sync — Feature-to-Spec Generator</w:t>
      </w:r>
    </w:p>
    <w:p>
      <w:pPr>
        <w:pStyle w:val="Heading1"/>
      </w:pPr>
      <w:r>
        <w:t>1. Executive Summary</w:t>
      </w:r>
    </w:p>
    <w:p>
      <w:r>
        <w:t>Arch-Sync is a context-aware technical specification generator designed to bridge the gap between Product Management and Engineering. By leveraging a repository context layer (IBM Bob), it ensures that generated specs are technically feasible blueprints aligned with the specific patterns and architecture of an existing codebase.</w:t>
      </w:r>
    </w:p>
    <w:p>
      <w:pPr>
        <w:pStyle w:val="Heading1"/>
      </w:pPr>
      <w:r>
        <w:t>2. Problem Statement</w:t>
      </w:r>
    </w:p>
    <w:p>
      <w:r>
        <w:t>Current AI tools generate 'generic' specs that ignore the specific tech stack, existing database schemas, and internal API patterns of a company’s private repository. This leads to architectural drift and significant rework for developers.</w:t>
      </w:r>
    </w:p>
    <w:p>
      <w:pPr>
        <w:pStyle w:val="Heading1"/>
      </w:pPr>
      <w:r>
        <w:t>3. Target Audience</w:t>
      </w:r>
    </w:p>
    <w:p>
      <w:pPr>
        <w:pStyle w:val="ListBullet"/>
      </w:pPr>
      <w:r>
        <w:t>• Technical Product Managers (TPMs)</w:t>
      </w:r>
    </w:p>
    <w:p>
      <w:pPr>
        <w:pStyle w:val="ListBullet"/>
      </w:pPr>
      <w:r>
        <w:t>• Software Architects and Lead Engineers</w:t>
      </w:r>
    </w:p>
    <w:p>
      <w:pPr>
        <w:pStyle w:val="ListBullet"/>
      </w:pPr>
      <w:r>
        <w:t>• Hackathon Teams requiring rapid, consistent specs</w:t>
      </w:r>
    </w:p>
    <w:p>
      <w:pPr>
        <w:pStyle w:val="Heading1"/>
      </w:pPr>
      <w:r>
        <w:t>4. Functional Requirements</w:t>
      </w:r>
    </w:p>
    <w:p>
      <w:pPr>
        <w:pStyle w:val="Heading2"/>
      </w:pPr>
      <w:r>
        <w:t>FR1: Natural Language Intake</w:t>
      </w:r>
    </w:p>
    <w:p>
      <w:r>
        <w:t>The system shall provide a text interface for describing feature ideas in plain language.</w:t>
      </w:r>
    </w:p>
    <w:p>
      <w:pPr>
        <w:pStyle w:val="Heading2"/>
      </w:pPr>
      <w:r>
        <w:t>FR2: Repository Context Injection (IBM Bob Layer)</w:t>
      </w:r>
    </w:p>
    <w:p>
      <w:r>
        <w:t>The system must ingest repository metadata (directory structure, schema files, dependency manifests) to ensure architectural alignment.</w:t>
      </w:r>
    </w:p>
    <w:p>
      <w:pPr>
        <w:pStyle w:val="Heading2"/>
      </w:pPr>
      <w:r>
        <w:t>FR3: Specification Generation</w:t>
      </w:r>
    </w:p>
    <w:p>
      <w:r>
        <w:t>The output must be a Markdown-formatted document including:</w:t>
      </w:r>
    </w:p>
    <w:p>
      <w:pPr>
        <w:pStyle w:val="ListBullet"/>
      </w:pPr>
      <w:r>
        <w:t>• User Stories (Gherkin style)</w:t>
      </w:r>
    </w:p>
    <w:p>
      <w:pPr>
        <w:pStyle w:val="ListBullet"/>
      </w:pPr>
      <w:r>
        <w:t>• Proposed Schema Changes</w:t>
      </w:r>
    </w:p>
    <w:p>
      <w:pPr>
        <w:pStyle w:val="ListBullet"/>
      </w:pPr>
      <w:r>
        <w:t>• API Contract (OpenAPI sketch)</w:t>
      </w:r>
    </w:p>
    <w:p>
      <w:pPr>
        <w:pStyle w:val="ListBullet"/>
      </w:pPr>
      <w:r>
        <w:t>• Estimated Complexity (Fibonacci)</w:t>
      </w:r>
    </w:p>
    <w:p>
      <w:pPr>
        <w:pStyle w:val="Heading1"/>
      </w:pPr>
      <w:r>
        <w:t>5. Technical Architecture</w:t>
      </w:r>
    </w:p>
    <w:p>
      <w:r>
        <w:t>Arch-Sync utilizes a Multi-Agent Orchestration pattern. It uses Hybrid RAG to map user intent against indexed vector embeddings of the target repository, ensuring generated components (like API endpoints) match existing naming conventions and data structures.</w:t>
      </w:r>
    </w:p>
    <w:p>
      <w:pPr>
        <w:pStyle w:val="Heading1"/>
      </w:pPr>
      <w:r>
        <w:t>6. Success Metrics</w:t>
      </w:r>
    </w:p>
    <w:p>
      <w:pPr>
        <w:pStyle w:val="ListBullet"/>
      </w:pPr>
      <w:r>
        <w:t>• Latency: Under 30 seconds for initial spec generation.</w:t>
      </w:r>
    </w:p>
    <w:p>
      <w:pPr>
        <w:pStyle w:val="ListBullet"/>
      </w:pPr>
      <w:r>
        <w:t>• Consistency: 0 framework hallucinations (e.g., no SQL suggestions for NoSQL repos).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