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84"/>
          <w:szCs w:val="84"/>
          <w:rtl w:val="0"/>
        </w:rPr>
        <w:t xml:space="preserve">POLICY DOCUMENT</w:t>
        <w:br w:type="textWrapping"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Proposed to be Adopted by the General Council</w:t>
      </w:r>
    </w:p>
    <w:p w:rsidR="00000000" w:rsidDel="00000000" w:rsidP="00000000" w:rsidRDefault="00000000" w:rsidRPr="00000000" w14:paraId="00000004">
      <w:pPr>
        <w:pageBreakBefore w:val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of the Cape Town Tygerberg Football Association</w:t>
      </w:r>
    </w:p>
    <w:p w:rsidR="00000000" w:rsidDel="00000000" w:rsidP="00000000" w:rsidRDefault="00000000" w:rsidRPr="00000000" w14:paraId="00000005">
      <w:pPr>
        <w:pageBreakBefore w:val="0"/>
        <w:jc w:val="center"/>
        <w:rPr>
          <w:b w:val="1"/>
          <w:bCs w:val="1"/>
          <w:sz w:val="84"/>
          <w:szCs w:val="8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