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微軟正黑體" w:hAnsi="微軟正黑體" w:eastAsia="微軟正黑體"/>
          <w:b/>
          <w:sz w:val="32"/>
        </w:rPr>
        <w:t>一、 標題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各分區18個產品品類銷售業績分析報告</w:t>
      </w:r>
    </w:p>
    <w:p>
      <w:pPr>
        <w:pStyle w:val="Heading2"/>
      </w:pPr>
      <w:r>
        <w:rPr>
          <w:rFonts w:ascii="微軟正黑體" w:hAnsi="微軟正黑體" w:eastAsia="微軟正黑體"/>
          <w:b/>
          <w:sz w:val="32"/>
        </w:rPr>
        <w:t>二、 報告摘要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本報告旨在分析各分區18個產品品類之銷售業績。數據顯示，產品品類5、17及2為整體銷售貢獻最大的品類。其中，中西區在品類5及2表現卓越，東南區則在品類17一枝獨秀，北方區在多個品類中展現穩定貢獻。值得注意的是，部分品類在特定區域呈現銷售空白，顯示市場差異或潛在的開拓機會。為優化整體營收，建議管理層應著重複製成功經驗，並評估銷售低迷區域的策略調整空間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32"/>
        </w:rPr>
        <w:t>三、 前言與背景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本報告是基於提供的各分區18個產品品類銷售業績圖表進行分析。圖表展示了北方區、東南區與中西區三大區域在18個不同產品品類上的銷售額（單位：萬元）。此次分析目的在於深入理解各產品品類與區域之間的銷售表現差異，識別高潛力市場與產品，並為管理層提供具體建議，以優化資源配置和提升整體銷售績效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32"/>
        </w:rPr>
        <w:t>四、 數據分析與發現</w:t>
      </w:r>
    </w:p>
    <w:p>
      <w:pPr>
        <w:ind w:firstLine="480"/>
      </w:pPr>
      <w:r>
        <w:rPr>
          <w:rFonts w:ascii="微軟正黑體" w:hAnsi="微軟正黑體" w:eastAsia="微軟正黑體"/>
          <w:b/>
          <w:sz w:val="24"/>
        </w:rPr>
        <w:t>1.  整體銷售表現概覽：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整體而言，18個產品品類在三大區域的銷售表現差異顯著。品類5、17和2為公司主要營收來源。初步估計，北方區、東南區與中西區的總銷售額相近，表明各區域在不同品類上有所專精。</w:t>
      </w:r>
    </w:p>
    <w:p>
      <w:pPr>
        <w:ind w:firstLine="480"/>
      </w:pPr>
      <w:r>
        <w:rPr>
          <w:rFonts w:ascii="微軟正黑體" w:hAnsi="微軟正黑體" w:eastAsia="微軟正黑體"/>
          <w:b/>
          <w:sz w:val="24"/>
        </w:rPr>
        <w:t>2.  各品類銷售表現分析：</w:t>
      </w:r>
    </w:p>
    <w:p>
      <w:pPr>
        <w:ind w:firstLine="480"/>
      </w:pPr>
      <w:r>
        <w:rPr>
          <w:rFonts w:ascii="微軟正黑體" w:hAnsi="微軟正黑體" w:eastAsia="微軟正黑體"/>
          <w:b/>
          <w:sz w:val="24"/>
        </w:rPr>
        <w:t>表現優異品類：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品類5：此品類是總體銷售額最高的品類，合計約1440萬元。中西區貢獻了最高的銷售額，約750萬元；其次是北方區，約450萬元；東南區約240萬元。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品類17：此品類總體銷售額次高，合計約1050萬元。其中東南區表現極其突出，達到約720萬元；北方區約330萬元。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品類2：此品類總體銷售額排名第三，合計約950萬元。中西區銷售額約520萬元；北方區約400萬元；東南區約30萬元。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品類11：總體銷售額約570萬元。北方區約380萬元；東南區約190萬元。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品類1：總體銷售額約410萬元。東南區約220萬元；中西區約100萬元；北方區約90萬元。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其他表現中等品類：品類10、品類15、品類6、品類12、品類3、品類7、品類13、品類4、品類14、品類16、品類18、品類9、品類8的銷售額相對較低。</w:t>
      </w:r>
    </w:p>
    <w:p>
      <w:pPr>
        <w:ind w:firstLine="480"/>
      </w:pPr>
      <w:r>
        <w:rPr>
          <w:rFonts w:ascii="微軟正黑體" w:hAnsi="微軟正黑體" w:eastAsia="微軟正黑體"/>
          <w:b/>
          <w:sz w:val="24"/>
        </w:rPr>
        <w:t>銷售空白品類：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圖表顯示，多個品類在特定區域的銷售額為零。例如，品類3在北方區和東南區無銷售；品類4在中西區和東南區無銷售；品類6、7、8、9、10在北方區無銷售；品類12、13、18在北方區和東南區無銷售；品類14在中西區和東南區無銷售；品類15在中西區無銷售；品類16在中西區和東南區無銷售。這可能表示市場需求差異、產品未鋪貨或行銷策略未觸及。</w:t>
      </w:r>
    </w:p>
    <w:p>
      <w:pPr>
        <w:ind w:firstLine="480"/>
      </w:pPr>
      <w:r>
        <w:rPr>
          <w:rFonts w:ascii="微軟正黑體" w:hAnsi="微軟正黑體" w:eastAsia="微軟正黑體"/>
          <w:b/>
          <w:sz w:val="24"/>
        </w:rPr>
        <w:t>3.  各區域銷售表現分析：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北方區：在品類2、5、11和17表現強勁，並且在品類1、4、14、15、16均有穩定貢獻。該區域在多個品類中均有銷售，顯示出較廣泛的產品覆蓋和市場接受度。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東南區：在品類17的銷售額達約720萬元，為該區域的絕對主力。此外，在品類1、6、7、9、11、8也有銷售貢獻。然而，該區域在部分品類中表現較弱或存在銷售空白。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中西區：在品類5和品類2表現突出，分別貢獻約750萬元和520萬元。同時，在品類3、10、12、13、18也顯示了獨特的市場優勢。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32"/>
        </w:rPr>
        <w:t>五、 結論與建議</w:t>
      </w:r>
    </w:p>
    <w:p>
      <w:pPr>
        <w:ind w:firstLine="480"/>
      </w:pPr>
      <w:r>
        <w:rPr>
          <w:rFonts w:ascii="微軟正黑體" w:hAnsi="微軟正黑體" w:eastAsia="微軟正黑體"/>
          <w:b/>
          <w:sz w:val="24"/>
        </w:rPr>
        <w:t>1.  結論：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本期銷售業績由少數幾個主力品類（品類5、17、2）主導，這些品類在特定區域展現出極高的銷售潛力。各區域的總體銷售額雖差異不大，但各自的強勢品類分佈不同。同時，部分品類在跨區域表現不均，甚至存在銷售空白，這既是挑戰也預示著成長機會。</w:t>
      </w:r>
    </w:p>
    <w:p>
      <w:pPr>
        <w:ind w:firstLine="480"/>
      </w:pPr>
      <w:r>
        <w:rPr>
          <w:rFonts w:ascii="微軟正黑體" w:hAnsi="微軟正黑體" w:eastAsia="微軟正黑體"/>
          <w:b/>
          <w:sz w:val="24"/>
        </w:rPr>
        <w:t>2.  建議：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複製成功經驗：針對品類5在中西區、品類17在東南區以及品類2在中西區和北方區的成功案例，深入分析其成功因素，並評估將這些最佳實踐複製到其他區域或類似品類的可行性。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加強弱勢品類與區域的開發：對於在特定區域銷售額為零的品類，應評估其市場潛力。如果存在市場需求，則應檢視分銷策略、行銷推廣或產品適應性，考慮進行測試性投放或策略調整。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優化產品組合策略：針對各區域的強弱勢品類分佈，管理層應考慮調整各區域的產品組合，使之更符合當地市場需求，並將資源集中於高潛力品類。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跨區域知識分享：鼓勵各區域間分享銷售經驗與市場洞察，特別是關於主力品類的推廣策略，以促進整體銷售業績的提升。</w:t>
      </w:r>
    </w:p>
    <w:p>
      <w:pPr>
        <w:ind w:firstLine="480"/>
      </w:pPr>
      <w:r>
        <w:rPr>
          <w:rFonts w:ascii="微軟正黑體" w:hAnsi="微軟正黑體" w:eastAsia="微軟正黑體"/>
          <w:sz w:val="24"/>
        </w:rPr>
        <w:t>定期監測與評估：持續追蹤各品類與區域的銷售表現，並定期進行細緻分析，以便及時調整銷售策略和資源分配。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