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BD" w:rsidRDefault="004357BD" w:rsidP="004357BD">
      <w:pPr>
        <w:pStyle w:val="Default"/>
      </w:pPr>
    </w:p>
    <w:p w:rsidR="004357BD" w:rsidRPr="004357BD" w:rsidRDefault="004357BD" w:rsidP="004357BD">
      <w:pPr>
        <w:pStyle w:val="Default"/>
        <w:jc w:val="center"/>
        <w:rPr>
          <w:lang w:val="es-PE"/>
        </w:rPr>
      </w:pPr>
      <w:r>
        <w:rPr>
          <w:lang w:val="es-PE"/>
        </w:rPr>
        <w:t>TITULO</w:t>
      </w:r>
    </w:p>
    <w:p w:rsidR="004357BD" w:rsidRDefault="004357BD" w:rsidP="004357BD">
      <w:pPr>
        <w:pStyle w:val="Default"/>
        <w:jc w:val="center"/>
        <w:rPr>
          <w:b/>
          <w:sz w:val="23"/>
          <w:szCs w:val="23"/>
          <w:lang w:val="es-PE"/>
        </w:rPr>
      </w:pPr>
      <w:r w:rsidRPr="004357BD">
        <w:rPr>
          <w:b/>
          <w:sz w:val="23"/>
          <w:szCs w:val="23"/>
          <w:lang w:val="es-PE"/>
        </w:rPr>
        <w:t>Reconocimiento del patrón de transcripción genética de cáncer específico e identificación de firmas genéticas compartidas en distintos tipos de cáncer</w:t>
      </w:r>
    </w:p>
    <w:p w:rsidR="004357BD" w:rsidRPr="004357BD" w:rsidRDefault="004357BD" w:rsidP="004357BD">
      <w:pPr>
        <w:pStyle w:val="Default"/>
        <w:rPr>
          <w:sz w:val="20"/>
          <w:szCs w:val="20"/>
          <w:lang w:val="es-PE"/>
        </w:rPr>
      </w:pPr>
      <w:r w:rsidRPr="004357BD">
        <w:rPr>
          <w:b/>
          <w:sz w:val="20"/>
          <w:szCs w:val="20"/>
          <w:lang w:val="es-PE"/>
        </w:rPr>
        <w:t xml:space="preserve">Autores: </w:t>
      </w:r>
      <w:r w:rsidRPr="004357BD">
        <w:rPr>
          <w:rFonts w:ascii="Times New Roman" w:hAnsi="Times New Roman" w:cs="Times New Roman"/>
          <w:sz w:val="20"/>
          <w:szCs w:val="20"/>
          <w:lang w:val="es-PE"/>
        </w:rPr>
        <w:t xml:space="preserve">Jorge Antúnez de Mayolo Vernaza, </w:t>
      </w:r>
      <w:proofErr w:type="spellStart"/>
      <w:r w:rsidRPr="004357BD">
        <w:rPr>
          <w:rFonts w:ascii="Times New Roman" w:hAnsi="Times New Roman" w:cs="Times New Roman"/>
          <w:sz w:val="20"/>
          <w:szCs w:val="20"/>
          <w:lang w:val="es-PE"/>
        </w:rPr>
        <w:t>Thelly</w:t>
      </w:r>
      <w:proofErr w:type="spellEnd"/>
      <w:r w:rsidRPr="004357BD">
        <w:rPr>
          <w:rFonts w:ascii="Times New Roman" w:hAnsi="Times New Roman" w:cs="Times New Roman"/>
          <w:sz w:val="20"/>
          <w:szCs w:val="20"/>
          <w:lang w:val="es-PE"/>
        </w:rPr>
        <w:t xml:space="preserve"> del Valle, </w:t>
      </w:r>
      <w:r w:rsidRPr="004357BD">
        <w:rPr>
          <w:sz w:val="20"/>
          <w:szCs w:val="20"/>
          <w:lang w:val="es-PE"/>
        </w:rPr>
        <w:t xml:space="preserve">Rodrigo Guinea, José </w:t>
      </w:r>
      <w:proofErr w:type="spellStart"/>
      <w:r w:rsidRPr="004357BD">
        <w:rPr>
          <w:sz w:val="20"/>
          <w:szCs w:val="20"/>
          <w:lang w:val="es-PE"/>
        </w:rPr>
        <w:t>Lopez</w:t>
      </w:r>
      <w:proofErr w:type="spellEnd"/>
      <w:r w:rsidR="008A2975">
        <w:rPr>
          <w:sz w:val="20"/>
          <w:szCs w:val="20"/>
          <w:lang w:val="es-PE"/>
        </w:rPr>
        <w:t xml:space="preserve">, Peter Montalvo. </w:t>
      </w:r>
    </w:p>
    <w:p w:rsidR="004357BD" w:rsidRPr="004357BD" w:rsidRDefault="004357BD" w:rsidP="004357BD">
      <w:pPr>
        <w:pStyle w:val="Default"/>
        <w:jc w:val="center"/>
        <w:rPr>
          <w:b/>
          <w:color w:val="auto"/>
          <w:lang w:val="es-PE"/>
        </w:rPr>
      </w:pPr>
    </w:p>
    <w:p w:rsidR="004357BD" w:rsidRDefault="004357BD" w:rsidP="004357BD">
      <w:pPr>
        <w:pStyle w:val="Default"/>
        <w:jc w:val="center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Primera parte</w:t>
      </w:r>
    </w:p>
    <w:p w:rsidR="004357BD" w:rsidRDefault="004357BD">
      <w:pPr>
        <w:pStyle w:val="Default"/>
        <w:rPr>
          <w:sz w:val="20"/>
          <w:szCs w:val="20"/>
          <w:lang w:val="es-PE"/>
        </w:rPr>
      </w:pPr>
    </w:p>
    <w:p w:rsidR="004357BD" w:rsidRDefault="004357BD">
      <w:pPr>
        <w:pStyle w:val="Default"/>
        <w:rPr>
          <w:sz w:val="20"/>
          <w:szCs w:val="20"/>
          <w:lang w:val="es-PE"/>
        </w:rPr>
      </w:pPr>
      <w:r w:rsidRPr="004357BD">
        <w:rPr>
          <w:sz w:val="20"/>
          <w:szCs w:val="20"/>
          <w:lang w:val="es-PE"/>
        </w:rPr>
        <w:t>Introducción</w:t>
      </w:r>
    </w:p>
    <w:p w:rsidR="000E35BF" w:rsidRDefault="00822B74">
      <w:pPr>
        <w:pStyle w:val="Default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“Está demostrado que el cáncer es fundamentalmente una enfermedad genética”</w:t>
      </w:r>
      <w:r>
        <w:rPr>
          <w:rStyle w:val="Refdenotaalpie"/>
          <w:sz w:val="20"/>
          <w:szCs w:val="20"/>
          <w:lang w:val="es-PE"/>
        </w:rPr>
        <w:footnoteReference w:id="1"/>
      </w:r>
      <w:r>
        <w:rPr>
          <w:sz w:val="20"/>
          <w:szCs w:val="20"/>
          <w:lang w:val="es-PE"/>
        </w:rPr>
        <w:t xml:space="preserve"> </w:t>
      </w:r>
      <w:r w:rsidR="0010461B">
        <w:rPr>
          <w:sz w:val="20"/>
          <w:szCs w:val="20"/>
          <w:lang w:val="es-PE"/>
        </w:rPr>
        <w:t>.  Recientemente, se han desarrollado proyectos que, usando nuevas tecnologías, están tratando de identificar los orígenes genéticos de cada tipo de cáncer, inc</w:t>
      </w:r>
      <w:r w:rsidR="000E35BF">
        <w:rPr>
          <w:sz w:val="20"/>
          <w:szCs w:val="20"/>
          <w:lang w:val="es-PE"/>
        </w:rPr>
        <w:t xml:space="preserve">luyendo el protector TGA ATLAS. </w:t>
      </w:r>
    </w:p>
    <w:p w:rsidR="000E35BF" w:rsidRDefault="000E35BF">
      <w:pPr>
        <w:pStyle w:val="Default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Actualmente se ha logrado secuenciar ADN para detectar aberraciones genómicas recurrentes, sin embargo, aún en esas aberraciones se encuentra características distintas cuyo estudio no ha sido cubierto plenamente aún. </w:t>
      </w:r>
    </w:p>
    <w:p w:rsidR="000E35BF" w:rsidRDefault="000E35BF">
      <w:pPr>
        <w:pStyle w:val="Default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Dentro de los análisis genéticos encontrados con estas aberraciones, se están presentando nuevos enfoques al estudio genético del cáncer: </w:t>
      </w:r>
    </w:p>
    <w:p w:rsidR="000E35BF" w:rsidRDefault="007528D4" w:rsidP="000E35BF">
      <w:pPr>
        <w:pStyle w:val="Default"/>
        <w:numPr>
          <w:ilvl w:val="0"/>
          <w:numId w:val="1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Hasta la fecha las incidencias de cáncer se clasifican por el órgano que se ve afectado (independientemente de otros órganos), siendo por esa razón </w:t>
      </w:r>
      <w:r w:rsidR="003F7C5C">
        <w:rPr>
          <w:sz w:val="20"/>
          <w:szCs w:val="20"/>
          <w:lang w:val="es-PE"/>
        </w:rPr>
        <w:t>que se</w:t>
      </w:r>
      <w:r>
        <w:rPr>
          <w:sz w:val="20"/>
          <w:szCs w:val="20"/>
          <w:lang w:val="es-PE"/>
        </w:rPr>
        <w:t xml:space="preserve"> determina el tratamiento a seguir según el órgano afectado.  Sin embargo, de la nueva data que se está </w:t>
      </w:r>
      <w:r w:rsidR="003F7C5C">
        <w:rPr>
          <w:sz w:val="20"/>
          <w:szCs w:val="20"/>
          <w:lang w:val="es-PE"/>
        </w:rPr>
        <w:t>obteniendo</w:t>
      </w:r>
      <w:r>
        <w:rPr>
          <w:sz w:val="20"/>
          <w:szCs w:val="20"/>
          <w:lang w:val="es-PE"/>
        </w:rPr>
        <w:t xml:space="preserve">, Se han </w:t>
      </w:r>
      <w:r w:rsidR="003F7C5C">
        <w:rPr>
          <w:sz w:val="20"/>
          <w:szCs w:val="20"/>
          <w:lang w:val="es-PE"/>
        </w:rPr>
        <w:t>encontrado</w:t>
      </w:r>
      <w:r w:rsidR="000E35BF">
        <w:rPr>
          <w:sz w:val="20"/>
          <w:szCs w:val="20"/>
          <w:lang w:val="es-PE"/>
        </w:rPr>
        <w:t xml:space="preserve"> características de aberraciones </w:t>
      </w:r>
      <w:r>
        <w:rPr>
          <w:sz w:val="20"/>
          <w:szCs w:val="20"/>
          <w:lang w:val="es-PE"/>
        </w:rPr>
        <w:t xml:space="preserve">(que </w:t>
      </w:r>
      <w:r w:rsidR="003F7C5C">
        <w:rPr>
          <w:sz w:val="20"/>
          <w:szCs w:val="20"/>
          <w:lang w:val="es-PE"/>
        </w:rPr>
        <w:t>producir</w:t>
      </w:r>
      <w:r>
        <w:rPr>
          <w:sz w:val="20"/>
          <w:szCs w:val="20"/>
          <w:lang w:val="es-PE"/>
        </w:rPr>
        <w:t xml:space="preserve"> cáncer) </w:t>
      </w:r>
      <w:r w:rsidR="000E35BF">
        <w:rPr>
          <w:sz w:val="20"/>
          <w:szCs w:val="20"/>
          <w:lang w:val="es-PE"/>
        </w:rPr>
        <w:t xml:space="preserve">muy similares en distintos órganos </w:t>
      </w:r>
      <w:r>
        <w:rPr>
          <w:sz w:val="20"/>
          <w:szCs w:val="20"/>
          <w:lang w:val="es-PE"/>
        </w:rPr>
        <w:t xml:space="preserve">del </w:t>
      </w:r>
      <w:r w:rsidR="003F7C5C">
        <w:rPr>
          <w:sz w:val="20"/>
          <w:szCs w:val="20"/>
          <w:lang w:val="es-PE"/>
        </w:rPr>
        <w:t>cuerpo.</w:t>
      </w:r>
      <w:r>
        <w:rPr>
          <w:sz w:val="20"/>
          <w:szCs w:val="20"/>
          <w:lang w:val="es-PE"/>
        </w:rPr>
        <w:t xml:space="preserve"> Esta situación, está llevando a replantear los procedimientos actuales para considerar que los tratamientos podrían ser similares para distintos órganos del cuerpo si estos tuviesen las mismas aberraciones. </w:t>
      </w:r>
    </w:p>
    <w:p w:rsidR="007528D4" w:rsidRDefault="007528D4" w:rsidP="000E35BF">
      <w:pPr>
        <w:pStyle w:val="Default"/>
        <w:numPr>
          <w:ilvl w:val="0"/>
          <w:numId w:val="1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Para todos los cánceres detectados en un órgano específico, se determina generalmente el mismo tratamiento a seguir</w:t>
      </w:r>
      <w:r>
        <w:rPr>
          <w:rStyle w:val="Refdenotaalpie"/>
          <w:sz w:val="20"/>
          <w:szCs w:val="20"/>
          <w:lang w:val="es-PE"/>
        </w:rPr>
        <w:footnoteReference w:id="2"/>
      </w:r>
      <w:r>
        <w:rPr>
          <w:sz w:val="20"/>
          <w:szCs w:val="20"/>
          <w:lang w:val="es-PE"/>
        </w:rPr>
        <w:t xml:space="preserve">. Con la nueva información que se está obteniendo, se están encontrando aberraciones muy diferentes para un mismo órgano. Esto nos permite considerar que no necesariamente se debería aplicar </w:t>
      </w:r>
      <w:r w:rsidR="00525072">
        <w:rPr>
          <w:sz w:val="20"/>
          <w:szCs w:val="20"/>
          <w:lang w:val="es-PE"/>
        </w:rPr>
        <w:t xml:space="preserve">el mismo tratamiento </w:t>
      </w:r>
      <w:r w:rsidR="003F7C5C">
        <w:rPr>
          <w:sz w:val="20"/>
          <w:szCs w:val="20"/>
          <w:lang w:val="es-PE"/>
        </w:rPr>
        <w:t>aun</w:t>
      </w:r>
      <w:r w:rsidR="00525072">
        <w:rPr>
          <w:sz w:val="20"/>
          <w:szCs w:val="20"/>
          <w:lang w:val="es-PE"/>
        </w:rPr>
        <w:t xml:space="preserve"> cuando la incidencia de cáncer se presentase en un órgano específico. </w:t>
      </w:r>
    </w:p>
    <w:p w:rsidR="00525072" w:rsidRDefault="00525072" w:rsidP="000E35BF">
      <w:pPr>
        <w:pStyle w:val="Default"/>
        <w:numPr>
          <w:ilvl w:val="0"/>
          <w:numId w:val="1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Con la data de aberraciones, se podrían evaluar la posibilidad de un pronóstico temprano de un cáncer determinado, permitiendo poder realizar tratamientos en </w:t>
      </w:r>
      <w:proofErr w:type="spellStart"/>
      <w:r>
        <w:rPr>
          <w:sz w:val="20"/>
          <w:szCs w:val="20"/>
          <w:lang w:val="es-PE"/>
        </w:rPr>
        <w:t>estadíos</w:t>
      </w:r>
      <w:proofErr w:type="spellEnd"/>
      <w:r>
        <w:rPr>
          <w:sz w:val="20"/>
          <w:szCs w:val="20"/>
          <w:lang w:val="es-PE"/>
        </w:rPr>
        <w:t xml:space="preserve"> iniciales aún no detectados y mejorando la tasa de supervivencia para estas incidencias de cáncer</w:t>
      </w:r>
      <w:r>
        <w:rPr>
          <w:rStyle w:val="Refdenotaalpie"/>
          <w:sz w:val="20"/>
          <w:szCs w:val="20"/>
          <w:lang w:val="es-PE"/>
        </w:rPr>
        <w:footnoteReference w:id="3"/>
      </w:r>
      <w:r>
        <w:rPr>
          <w:sz w:val="20"/>
          <w:szCs w:val="20"/>
          <w:lang w:val="es-PE"/>
        </w:rPr>
        <w:t xml:space="preserve">. </w:t>
      </w:r>
    </w:p>
    <w:p w:rsidR="00525072" w:rsidRDefault="00525072" w:rsidP="00525072">
      <w:pPr>
        <w:pStyle w:val="Default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Con estas </w:t>
      </w:r>
    </w:p>
    <w:p w:rsidR="004357BD" w:rsidRDefault="000E35BF" w:rsidP="00525072">
      <w:pPr>
        <w:pStyle w:val="Default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Basado en la data que se pre</w:t>
      </w:r>
      <w:r w:rsidR="00525072">
        <w:rPr>
          <w:sz w:val="20"/>
          <w:szCs w:val="20"/>
          <w:lang w:val="es-PE"/>
        </w:rPr>
        <w:t>senta de este estudio, se buscará desarrollar un análisis para determinar qué tan cercanos estamos de poder identificar las mismas aberraciones- similar tipo de cáncer para distintos órganos (ítem 1), aberraciones distintas dentro de un mismo órgano para poder unificar el tratamiento (</w:t>
      </w:r>
      <w:proofErr w:type="spellStart"/>
      <w:r w:rsidR="00525072">
        <w:rPr>
          <w:sz w:val="20"/>
          <w:szCs w:val="20"/>
          <w:lang w:val="es-PE"/>
        </w:rPr>
        <w:t>iten</w:t>
      </w:r>
      <w:proofErr w:type="spellEnd"/>
      <w:r w:rsidR="00525072">
        <w:rPr>
          <w:sz w:val="20"/>
          <w:szCs w:val="20"/>
          <w:lang w:val="es-PE"/>
        </w:rPr>
        <w:t xml:space="preserve"> 2) y pronosticar en forma temprana la presencia de </w:t>
      </w:r>
      <w:proofErr w:type="spellStart"/>
      <w:r w:rsidR="00525072">
        <w:rPr>
          <w:sz w:val="20"/>
          <w:szCs w:val="20"/>
          <w:lang w:val="es-PE"/>
        </w:rPr>
        <w:t>c</w:t>
      </w:r>
      <w:r w:rsidR="005F7A28">
        <w:rPr>
          <w:sz w:val="20"/>
          <w:szCs w:val="20"/>
          <w:lang w:val="es-PE"/>
        </w:rPr>
        <w:t>anc</w:t>
      </w:r>
      <w:r w:rsidR="00525072">
        <w:rPr>
          <w:sz w:val="20"/>
          <w:szCs w:val="20"/>
          <w:lang w:val="es-PE"/>
        </w:rPr>
        <w:t>er</w:t>
      </w:r>
      <w:proofErr w:type="spellEnd"/>
      <w:r w:rsidR="00525072">
        <w:rPr>
          <w:sz w:val="20"/>
          <w:szCs w:val="20"/>
          <w:lang w:val="es-PE"/>
        </w:rPr>
        <w:t xml:space="preserve">. </w:t>
      </w:r>
    </w:p>
    <w:p w:rsidR="004357BD" w:rsidRDefault="004357BD">
      <w:pPr>
        <w:pStyle w:val="Default"/>
        <w:rPr>
          <w:sz w:val="20"/>
          <w:szCs w:val="20"/>
          <w:lang w:val="es-PE"/>
        </w:rPr>
      </w:pPr>
    </w:p>
    <w:p w:rsidR="004357BD" w:rsidRDefault="004357BD">
      <w:pPr>
        <w:pStyle w:val="Default"/>
        <w:rPr>
          <w:sz w:val="20"/>
          <w:szCs w:val="20"/>
          <w:lang w:val="es-PE"/>
        </w:rPr>
      </w:pPr>
    </w:p>
    <w:p w:rsidR="004357BD" w:rsidRDefault="004357BD">
      <w:pPr>
        <w:pStyle w:val="Default"/>
        <w:rPr>
          <w:sz w:val="20"/>
          <w:szCs w:val="20"/>
          <w:lang w:val="es-PE"/>
        </w:rPr>
      </w:pPr>
      <w:r w:rsidRPr="004357BD">
        <w:rPr>
          <w:sz w:val="20"/>
          <w:szCs w:val="20"/>
          <w:lang w:val="es-PE"/>
        </w:rPr>
        <w:t>estado del arte</w:t>
      </w:r>
    </w:p>
    <w:p w:rsidR="004357BD" w:rsidRDefault="005F7A28">
      <w:pPr>
        <w:pStyle w:val="Default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Para desarrollar</w:t>
      </w:r>
      <w:bookmarkStart w:id="0" w:name="_GoBack"/>
      <w:bookmarkEnd w:id="0"/>
    </w:p>
    <w:p w:rsidR="004357BD" w:rsidRDefault="004357BD">
      <w:pPr>
        <w:pStyle w:val="Default"/>
        <w:rPr>
          <w:sz w:val="20"/>
          <w:szCs w:val="20"/>
          <w:lang w:val="es-PE"/>
        </w:rPr>
      </w:pPr>
    </w:p>
    <w:p w:rsidR="004357BD" w:rsidRDefault="004357BD">
      <w:pPr>
        <w:pStyle w:val="Default"/>
        <w:rPr>
          <w:sz w:val="20"/>
          <w:szCs w:val="20"/>
          <w:lang w:val="es-PE"/>
        </w:rPr>
      </w:pPr>
    </w:p>
    <w:p w:rsidR="004357BD" w:rsidRDefault="004357BD">
      <w:pPr>
        <w:pStyle w:val="Default"/>
        <w:rPr>
          <w:sz w:val="20"/>
          <w:szCs w:val="20"/>
          <w:lang w:val="es-PE"/>
        </w:rPr>
      </w:pPr>
    </w:p>
    <w:p w:rsidR="004357BD" w:rsidRPr="004357BD" w:rsidRDefault="004357BD" w:rsidP="004357BD">
      <w:pPr>
        <w:pStyle w:val="Default"/>
        <w:rPr>
          <w:sz w:val="20"/>
          <w:szCs w:val="20"/>
          <w:lang w:val="es-PE"/>
        </w:rPr>
      </w:pPr>
      <w:r w:rsidRPr="004357BD">
        <w:rPr>
          <w:sz w:val="20"/>
          <w:szCs w:val="20"/>
          <w:lang w:val="es-PE"/>
        </w:rPr>
        <w:t>diseño del experimento</w:t>
      </w:r>
    </w:p>
    <w:p w:rsidR="00224DFE" w:rsidRPr="004357BD" w:rsidRDefault="00224DFE">
      <w:pPr>
        <w:rPr>
          <w:lang w:val="es-PE"/>
        </w:rPr>
      </w:pPr>
    </w:p>
    <w:sectPr w:rsidR="00224DFE" w:rsidRPr="00435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1F1" w:rsidRDefault="001F51F1" w:rsidP="00822B74">
      <w:pPr>
        <w:spacing w:after="0" w:line="240" w:lineRule="auto"/>
      </w:pPr>
      <w:r>
        <w:separator/>
      </w:r>
    </w:p>
  </w:endnote>
  <w:endnote w:type="continuationSeparator" w:id="0">
    <w:p w:rsidR="001F51F1" w:rsidRDefault="001F51F1" w:rsidP="0082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1F1" w:rsidRDefault="001F51F1" w:rsidP="00822B74">
      <w:pPr>
        <w:spacing w:after="0" w:line="240" w:lineRule="auto"/>
      </w:pPr>
      <w:r>
        <w:separator/>
      </w:r>
    </w:p>
  </w:footnote>
  <w:footnote w:type="continuationSeparator" w:id="0">
    <w:p w:rsidR="001F51F1" w:rsidRDefault="001F51F1" w:rsidP="00822B74">
      <w:pPr>
        <w:spacing w:after="0" w:line="240" w:lineRule="auto"/>
      </w:pPr>
      <w:r>
        <w:continuationSeparator/>
      </w:r>
    </w:p>
  </w:footnote>
  <w:footnote w:id="1">
    <w:p w:rsidR="00822B74" w:rsidRPr="0010461B" w:rsidRDefault="00822B7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10461B">
        <w:rPr>
          <w:rFonts w:ascii="Times New Roman" w:hAnsi="Times New Roman" w:cs="Times New Roman"/>
          <w:i/>
          <w:iCs/>
        </w:rPr>
        <w:t>Nat Genet</w:t>
      </w:r>
      <w:r w:rsidR="0010461B">
        <w:rPr>
          <w:rFonts w:ascii="Times New Roman" w:hAnsi="Times New Roman" w:cs="Times New Roman"/>
        </w:rPr>
        <w:t xml:space="preserve">. 2013 </w:t>
      </w:r>
      <w:proofErr w:type="gramStart"/>
      <w:r w:rsidR="0010461B">
        <w:rPr>
          <w:rFonts w:ascii="Times New Roman" w:hAnsi="Times New Roman" w:cs="Times New Roman"/>
        </w:rPr>
        <w:t>October ;</w:t>
      </w:r>
      <w:proofErr w:type="gramEnd"/>
      <w:r w:rsidR="0010461B">
        <w:rPr>
          <w:rFonts w:ascii="Times New Roman" w:hAnsi="Times New Roman" w:cs="Times New Roman"/>
        </w:rPr>
        <w:t xml:space="preserve"> 45(10): 1113–1120. doi:10.1038/ng.2764</w:t>
      </w:r>
    </w:p>
  </w:footnote>
  <w:footnote w:id="2">
    <w:p w:rsidR="007528D4" w:rsidRPr="007528D4" w:rsidRDefault="007528D4">
      <w:pPr>
        <w:pStyle w:val="Textonotapie"/>
        <w:rPr>
          <w:lang w:val="es-PE"/>
        </w:rPr>
      </w:pPr>
      <w:r>
        <w:rPr>
          <w:rStyle w:val="Refdenotaalpie"/>
        </w:rPr>
        <w:footnoteRef/>
      </w:r>
      <w:r w:rsidRPr="007528D4">
        <w:rPr>
          <w:lang w:val="es-PE"/>
        </w:rPr>
        <w:t xml:space="preserve"> </w:t>
      </w:r>
      <w:r>
        <w:rPr>
          <w:lang w:val="es-PE"/>
        </w:rPr>
        <w:t xml:space="preserve">Entiéndase por tratamiento a seguir como el desarrollo de cualquiera de los procedimientos a usar para el mismo diagnóstico encontrado. </w:t>
      </w:r>
    </w:p>
  </w:footnote>
  <w:footnote w:id="3">
    <w:p w:rsidR="00525072" w:rsidRPr="00525072" w:rsidRDefault="00525072" w:rsidP="00525072">
      <w:pPr>
        <w:pStyle w:val="Textonotapie"/>
        <w:rPr>
          <w:lang w:val="es-PE"/>
        </w:rPr>
      </w:pPr>
      <w:r>
        <w:rPr>
          <w:rStyle w:val="Refdenotaalpie"/>
        </w:rPr>
        <w:footnoteRef/>
      </w:r>
      <w:r w:rsidRPr="00525072">
        <w:rPr>
          <w:lang w:val="es-PE"/>
        </w:rPr>
        <w:t xml:space="preserve"> </w:t>
      </w:r>
      <w:r>
        <w:rPr>
          <w:lang w:val="es-PE"/>
        </w:rPr>
        <w:t xml:space="preserve">Extracto libre </w:t>
      </w:r>
      <w:proofErr w:type="spellStart"/>
      <w:r>
        <w:rPr>
          <w:lang w:val="es-PE"/>
        </w:rPr>
        <w:t>basdo</w:t>
      </w:r>
      <w:proofErr w:type="spellEnd"/>
      <w:r>
        <w:rPr>
          <w:lang w:val="es-PE"/>
        </w:rPr>
        <w:t xml:space="preserve"> en </w:t>
      </w:r>
      <w:proofErr w:type="spellStart"/>
      <w:r w:rsidRPr="00525072">
        <w:rPr>
          <w:rFonts w:ascii="Times New Roman" w:hAnsi="Times New Roman" w:cs="Times New Roman"/>
          <w:i/>
          <w:iCs/>
          <w:lang w:val="es-PE"/>
        </w:rPr>
        <w:t>Nat</w:t>
      </w:r>
      <w:proofErr w:type="spellEnd"/>
      <w:r w:rsidRPr="00525072">
        <w:rPr>
          <w:rFonts w:ascii="Times New Roman" w:hAnsi="Times New Roman" w:cs="Times New Roman"/>
          <w:i/>
          <w:iCs/>
          <w:lang w:val="es-PE"/>
        </w:rPr>
        <w:t xml:space="preserve"> </w:t>
      </w:r>
      <w:proofErr w:type="spellStart"/>
      <w:r w:rsidRPr="00525072">
        <w:rPr>
          <w:rFonts w:ascii="Times New Roman" w:hAnsi="Times New Roman" w:cs="Times New Roman"/>
          <w:i/>
          <w:iCs/>
          <w:lang w:val="es-PE"/>
        </w:rPr>
        <w:t>Genet</w:t>
      </w:r>
      <w:proofErr w:type="spellEnd"/>
      <w:r w:rsidRPr="00525072">
        <w:rPr>
          <w:rFonts w:ascii="Times New Roman" w:hAnsi="Times New Roman" w:cs="Times New Roman"/>
          <w:lang w:val="es-PE"/>
        </w:rPr>
        <w:t xml:space="preserve">. </w:t>
      </w:r>
      <w:r>
        <w:rPr>
          <w:rFonts w:ascii="Times New Roman" w:hAnsi="Times New Roman" w:cs="Times New Roman"/>
        </w:rPr>
        <w:t xml:space="preserve">2013 </w:t>
      </w:r>
      <w:proofErr w:type="gramStart"/>
      <w:r>
        <w:rPr>
          <w:rFonts w:ascii="Times New Roman" w:hAnsi="Times New Roman" w:cs="Times New Roman"/>
        </w:rPr>
        <w:t>October ;</w:t>
      </w:r>
      <w:proofErr w:type="gramEnd"/>
      <w:r>
        <w:rPr>
          <w:rFonts w:ascii="Times New Roman" w:hAnsi="Times New Roman" w:cs="Times New Roman"/>
        </w:rPr>
        <w:t xml:space="preserve"> 45(10): 1113–1120. doi:10.1038/ng.2764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3C11"/>
    <w:multiLevelType w:val="hybridMultilevel"/>
    <w:tmpl w:val="1BA6F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BD"/>
    <w:rsid w:val="000E35BF"/>
    <w:rsid w:val="0010461B"/>
    <w:rsid w:val="00106260"/>
    <w:rsid w:val="001F51F1"/>
    <w:rsid w:val="00224DFE"/>
    <w:rsid w:val="003F7C5C"/>
    <w:rsid w:val="004357BD"/>
    <w:rsid w:val="00525072"/>
    <w:rsid w:val="005F7A28"/>
    <w:rsid w:val="007528D4"/>
    <w:rsid w:val="00822B74"/>
    <w:rsid w:val="008A2975"/>
    <w:rsid w:val="00B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31B9"/>
  <w15:chartTrackingRefBased/>
  <w15:docId w15:val="{2F06243E-48A4-400F-A511-517181CE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357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B7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B7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D15AE-EB4C-47EF-AE20-B6DE38A4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Pablo Antúnez de Mayolo Vernaza</dc:creator>
  <cp:keywords/>
  <dc:description/>
  <cp:lastModifiedBy>Jorge Pablo Antúnez de Mayolo Vernaza</cp:lastModifiedBy>
  <cp:revision>5</cp:revision>
  <dcterms:created xsi:type="dcterms:W3CDTF">2019-05-23T05:00:00Z</dcterms:created>
  <dcterms:modified xsi:type="dcterms:W3CDTF">2019-05-24T06:51:00Z</dcterms:modified>
</cp:coreProperties>
</file>