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p>
    <w:p>
      <w:pPr>
        <w:spacing w:after="60"/>
        <w:jc w:val="center"/>
      </w:pPr>
      <w:r>
        <w:rPr>
          <w:rFonts w:ascii="Calibri" w:hAnsi="Calibri"/>
          <w:b/>
          <w:color w:val="1F4E79"/>
          <w:sz w:val="56"/>
        </w:rPr>
        <w:t>PRISME</w:t>
      </w:r>
    </w:p>
    <w:p>
      <w:pPr>
        <w:spacing w:after="160"/>
        <w:jc w:val="center"/>
      </w:pPr>
      <w:r>
        <w:rPr>
          <w:rFonts w:ascii="Calibri" w:hAnsi="Calibri"/>
          <w:b/>
          <w:color w:val="27364A"/>
          <w:sz w:val="34"/>
        </w:rPr>
        <w:t>Independent Experimental Validation Proposal</w:t>
      </w:r>
    </w:p>
    <w:p>
      <w:pPr>
        <w:spacing w:after="440"/>
        <w:jc w:val="center"/>
      </w:pPr>
      <w:r>
        <w:rPr>
          <w:rFonts w:ascii="Calibri" w:hAnsi="Calibri"/>
          <w:b w:val="0"/>
          <w:color w:val="5B6573"/>
          <w:sz w:val="24"/>
        </w:rPr>
        <w:t>Five-channel spectral data encoding and optical storage in glass</w:t>
      </w:r>
    </w:p>
    <w:tbl>
      <w:tblPr>
        <w:tblStyle w:val="TableGrid"/>
        <w:tblW w:type="dxa" w:w="9360"/>
        <w:jc w:val="left"/>
        <w:tblLayout w:type="fixed"/>
        <w:tblLook w:firstColumn="1" w:firstRow="1" w:lastColumn="0" w:lastRow="0" w:noHBand="0" w:noVBand="1" w:val="04A0"/>
        <w:tblInd w:w="120" w:type="dxa"/>
      </w:tblPr>
      <w:tblGrid>
        <w:gridCol w:w="2800"/>
        <w:gridCol w:w="6560"/>
      </w:tblGrid>
      <w:tr>
        <w:tc>
          <w:tcPr>
            <w:tcW w:type="dxa" w:w="2800"/>
            <w:tcMar>
              <w:top w:w="80" w:type="dxa"/>
              <w:start w:w="120" w:type="dxa"/>
              <w:bottom w:w="80" w:type="dxa"/>
              <w:end w:w="120" w:type="dxa"/>
            </w:tcMar>
            <w:vAlign w:val="center"/>
            <w:shd w:fill="E8EEF5"/>
          </w:tcPr>
          <w:p>
            <w:r>
              <w:rPr>
                <w:b/>
                <w:color w:val="1F4E79"/>
                <w:sz w:val="19"/>
              </w:rPr>
              <w:t>Proposed partner</w:t>
            </w:r>
          </w:p>
        </w:tc>
        <w:tc>
          <w:tcPr>
            <w:tcW w:type="dxa" w:w="6560"/>
            <w:tcMar>
              <w:top w:w="80" w:type="dxa"/>
              <w:start w:w="120" w:type="dxa"/>
              <w:bottom w:w="80" w:type="dxa"/>
              <w:end w:w="120" w:type="dxa"/>
            </w:tcMar>
            <w:vAlign w:val="center"/>
            <w:shd w:fill="E8EEF5"/>
          </w:tcPr>
          <w:p>
            <w:r>
              <w:rPr>
                <w:b/>
                <w:color w:val="1F4E79"/>
                <w:sz w:val="19"/>
              </w:rPr>
              <w:t>Project basis</w:t>
            </w:r>
          </w:p>
        </w:tc>
      </w:tr>
      <w:tr>
        <w:tc>
          <w:tcPr>
            <w:tcW w:type="dxa" w:w="2800"/>
            <w:tcMar>
              <w:top w:w="80" w:type="dxa"/>
              <w:start w:w="120" w:type="dxa"/>
              <w:bottom w:w="80" w:type="dxa"/>
              <w:end w:w="120" w:type="dxa"/>
            </w:tcMar>
            <w:vAlign w:val="center"/>
          </w:tcPr>
          <w:p>
            <w:pPr>
              <w:spacing w:after="20"/>
            </w:pPr>
            <w:r>
              <w:rPr>
                <w:sz w:val="18"/>
              </w:rPr>
              <w:t>DTU Electro or a university photonics laboratory</w:t>
            </w:r>
          </w:p>
        </w:tc>
        <w:tc>
          <w:tcPr>
            <w:tcW w:type="dxa" w:w="6560"/>
            <w:tcMar>
              <w:top w:w="80" w:type="dxa"/>
              <w:start w:w="120" w:type="dxa"/>
              <w:bottom w:w="80" w:type="dxa"/>
              <w:end w:w="120" w:type="dxa"/>
            </w:tcMar>
            <w:vAlign w:val="center"/>
          </w:tcPr>
          <w:p>
            <w:pPr>
              <w:spacing w:after="20"/>
            </w:pPr>
            <w:r>
              <w:rPr>
                <w:sz w:val="18"/>
              </w:rPr>
              <w:t>Open-source PRISME repository and Hardware Plan v2.0</w:t>
            </w:r>
          </w:p>
        </w:tc>
      </w:tr>
      <w:tr>
        <w:tc>
          <w:tcPr>
            <w:tcW w:type="dxa" w:w="2800"/>
            <w:tcMar>
              <w:top w:w="80" w:type="dxa"/>
              <w:start w:w="120" w:type="dxa"/>
              <w:bottom w:w="80" w:type="dxa"/>
              <w:end w:w="120" w:type="dxa"/>
            </w:tcMar>
            <w:vAlign w:val="center"/>
          </w:tcPr>
          <w:p>
            <w:pPr>
              <w:spacing w:after="20"/>
            </w:pPr>
            <w:r>
              <w:rPr>
                <w:sz w:val="18"/>
              </w:rPr>
              <w:t>Initial duration</w:t>
            </w:r>
          </w:p>
        </w:tc>
        <w:tc>
          <w:tcPr>
            <w:tcW w:type="dxa" w:w="6560"/>
            <w:tcMar>
              <w:top w:w="80" w:type="dxa"/>
              <w:start w:w="120" w:type="dxa"/>
              <w:bottom w:w="80" w:type="dxa"/>
              <w:end w:w="120" w:type="dxa"/>
            </w:tcMar>
            <w:vAlign w:val="center"/>
          </w:tcPr>
          <w:p>
            <w:pPr>
              <w:spacing w:after="20"/>
            </w:pPr>
            <w:r>
              <w:rPr>
                <w:sz w:val="18"/>
              </w:rPr>
              <w:t>8–12 weeks for independent proof-of-concept</w:t>
            </w:r>
          </w:p>
        </w:tc>
      </w:tr>
      <w:tr>
        <w:tc>
          <w:tcPr>
            <w:tcW w:type="dxa" w:w="2800"/>
            <w:tcMar>
              <w:top w:w="80" w:type="dxa"/>
              <w:start w:w="120" w:type="dxa"/>
              <w:bottom w:w="80" w:type="dxa"/>
              <w:end w:w="120" w:type="dxa"/>
            </w:tcMar>
            <w:vAlign w:val="center"/>
          </w:tcPr>
          <w:p>
            <w:pPr>
              <w:spacing w:after="20"/>
            </w:pPr>
            <w:r>
              <w:rPr>
                <w:sz w:val="18"/>
              </w:rPr>
              <w:t>Initial material budget</w:t>
            </w:r>
          </w:p>
        </w:tc>
        <w:tc>
          <w:tcPr>
            <w:tcW w:type="dxa" w:w="6560"/>
            <w:tcMar>
              <w:top w:w="80" w:type="dxa"/>
              <w:start w:w="120" w:type="dxa"/>
              <w:bottom w:w="80" w:type="dxa"/>
              <w:end w:w="120" w:type="dxa"/>
            </w:tcMar>
            <w:vAlign w:val="center"/>
          </w:tcPr>
          <w:p>
            <w:pPr>
              <w:spacing w:after="20"/>
            </w:pPr>
            <w:r>
              <w:rPr>
                <w:sz w:val="18"/>
              </w:rPr>
              <w:t>Approx. DKK 6,700; laboratory time and staff excluded</w:t>
            </w:r>
          </w:p>
        </w:tc>
      </w:tr>
      <w:tr>
        <w:tc>
          <w:tcPr>
            <w:tcW w:type="dxa" w:w="2800"/>
            <w:tcMar>
              <w:top w:w="80" w:type="dxa"/>
              <w:start w:w="120" w:type="dxa"/>
              <w:bottom w:w="80" w:type="dxa"/>
              <w:end w:w="120" w:type="dxa"/>
            </w:tcMar>
            <w:vAlign w:val="center"/>
          </w:tcPr>
          <w:p>
            <w:pPr>
              <w:spacing w:after="20"/>
            </w:pPr>
            <w:r>
              <w:rPr>
                <w:sz w:val="18"/>
              </w:rPr>
              <w:t>Requested outcome</w:t>
            </w:r>
          </w:p>
        </w:tc>
        <w:tc>
          <w:tcPr>
            <w:tcW w:type="dxa" w:w="6560"/>
            <w:tcMar>
              <w:top w:w="80" w:type="dxa"/>
              <w:start w:w="120" w:type="dxa"/>
              <w:bottom w:w="80" w:type="dxa"/>
              <w:end w:w="120" w:type="dxa"/>
            </w:tcMar>
            <w:vAlign w:val="center"/>
          </w:tcPr>
          <w:p>
            <w:pPr>
              <w:spacing w:after="20"/>
            </w:pPr>
            <w:r>
              <w:rPr>
                <w:sz w:val="18"/>
              </w:rPr>
              <w:t>Measured feasibility report and go/no-go recommendation</w:t>
            </w:r>
          </w:p>
        </w:tc>
      </w:tr>
    </w:tbl>
    <w:p>
      <w:pPr>
        <w:spacing w:after="0"/>
      </w:pPr>
    </w:p>
    <w:p>
      <w:r>
        <w:rPr>
          <w:rFonts w:ascii="Calibri" w:hAnsi="Calibri"/>
          <w:b/>
          <w:color w:val="1F4E79"/>
          <w:sz w:val="22"/>
        </w:rPr>
        <w:t xml:space="preserve">Core request. </w:t>
      </w:r>
      <w:r>
        <w:t>PRISME seeks an academic partner to independently test whether five wavelength channels, each quantized into four intensity levels, can be written, read, calibrated and error-checked with sufficient repeatability to justify a larger ultrafast-laser study.</w:t>
      </w:r>
    </w:p>
    <w:p>
      <w:pPr>
        <w:pStyle w:val="Heading1"/>
      </w:pPr>
      <w:r>
        <w:t>1. Executive summary</w:t>
      </w:r>
    </w:p>
    <w:p>
      <w:r>
        <w:t>PRISME is an open-source research concept for encoding one byte across four optical data channels (red, green, blue and violet) while using a fifth near-UV channel as a modulo-4 check symbol. The present software demonstration shows the encoding logic; it does not validate the physical medium, the claimed density, archival lifetime, writing speed or economics.</w:t>
      </w:r>
    </w:p>
    <w:p>
      <w:r>
        <w:t>This proposal deliberately separates three questions: whether four optical levels can be discriminated; whether five channels can coexist with manageable crosstalk; and whether permanent ultrafast-laser inscription in glass can preserve those levels. Only the first two questions are included in the initial 8–12 week proof-of-concept.</w:t>
      </w:r>
    </w:p>
    <w:p>
      <w:pPr>
        <w:pStyle w:val="Heading1"/>
      </w:pPr>
      <w:r>
        <w:t>2. Hypothesis and claims to test</w:t>
      </w:r>
    </w:p>
    <w:tbl>
      <w:tblPr>
        <w:tblStyle w:val="TableGrid"/>
        <w:tblW w:type="dxa" w:w="9360"/>
        <w:jc w:val="left"/>
        <w:tblLayout w:type="fixed"/>
        <w:tblLook w:firstColumn="1" w:firstRow="1" w:lastColumn="0" w:lastRow="0" w:noHBand="0" w:noVBand="1" w:val="04A0"/>
        <w:tblInd w:w="120" w:type="dxa"/>
      </w:tblPr>
      <w:tblGrid>
        <w:gridCol w:w="600"/>
        <w:gridCol w:w="4700"/>
        <w:gridCol w:w="4060"/>
      </w:tblGrid>
      <w:tr>
        <w:tc>
          <w:tcPr>
            <w:tcW w:type="dxa" w:w="600"/>
            <w:tcMar>
              <w:top w:w="80" w:type="dxa"/>
              <w:start w:w="120" w:type="dxa"/>
              <w:bottom w:w="80" w:type="dxa"/>
              <w:end w:w="120" w:type="dxa"/>
            </w:tcMar>
            <w:vAlign w:val="center"/>
            <w:shd w:fill="E8EEF5"/>
          </w:tcPr>
          <w:p>
            <w:r>
              <w:rPr>
                <w:b/>
                <w:color w:val="1F4E79"/>
                <w:sz w:val="19"/>
              </w:rPr>
              <w:t>ID</w:t>
            </w:r>
          </w:p>
        </w:tc>
        <w:tc>
          <w:tcPr>
            <w:tcW w:type="dxa" w:w="4700"/>
            <w:tcMar>
              <w:top w:w="80" w:type="dxa"/>
              <w:start w:w="120" w:type="dxa"/>
              <w:bottom w:w="80" w:type="dxa"/>
              <w:end w:w="120" w:type="dxa"/>
            </w:tcMar>
            <w:vAlign w:val="center"/>
            <w:shd w:fill="E8EEF5"/>
          </w:tcPr>
          <w:p>
            <w:r>
              <w:rPr>
                <w:b/>
                <w:color w:val="1F4E79"/>
                <w:sz w:val="19"/>
              </w:rPr>
              <w:t>Testable hypothesis</w:t>
            </w:r>
          </w:p>
        </w:tc>
        <w:tc>
          <w:tcPr>
            <w:tcW w:type="dxa" w:w="4060"/>
            <w:tcMar>
              <w:top w:w="80" w:type="dxa"/>
              <w:start w:w="120" w:type="dxa"/>
              <w:bottom w:w="80" w:type="dxa"/>
              <w:end w:w="120" w:type="dxa"/>
            </w:tcMar>
            <w:vAlign w:val="center"/>
            <w:shd w:fill="E8EEF5"/>
          </w:tcPr>
          <w:p>
            <w:r>
              <w:rPr>
                <w:b/>
                <w:color w:val="1F4E79"/>
                <w:sz w:val="19"/>
              </w:rPr>
              <w:t>Initial success criterion</w:t>
            </w:r>
          </w:p>
        </w:tc>
      </w:tr>
      <w:tr>
        <w:tc>
          <w:tcPr>
            <w:tcW w:type="dxa" w:w="600"/>
            <w:tcMar>
              <w:top w:w="80" w:type="dxa"/>
              <w:start w:w="120" w:type="dxa"/>
              <w:bottom w:w="80" w:type="dxa"/>
              <w:end w:w="120" w:type="dxa"/>
            </w:tcMar>
            <w:vAlign w:val="center"/>
          </w:tcPr>
          <w:p>
            <w:pPr>
              <w:spacing w:after="20"/>
            </w:pPr>
            <w:r>
              <w:rPr>
                <w:sz w:val="18"/>
              </w:rPr>
              <w:t>H1</w:t>
            </w:r>
          </w:p>
        </w:tc>
        <w:tc>
          <w:tcPr>
            <w:tcW w:type="dxa" w:w="4700"/>
            <w:tcMar>
              <w:top w:w="80" w:type="dxa"/>
              <w:start w:w="120" w:type="dxa"/>
              <w:bottom w:w="80" w:type="dxa"/>
              <w:end w:w="120" w:type="dxa"/>
            </w:tcMar>
            <w:vAlign w:val="center"/>
          </w:tcPr>
          <w:p>
            <w:pPr>
              <w:spacing w:after="20"/>
            </w:pPr>
            <w:r>
              <w:rPr>
                <w:sz w:val="18"/>
              </w:rPr>
              <w:t>Four stable intensity/transmission classes can be produced in one test medium.</w:t>
            </w:r>
          </w:p>
        </w:tc>
        <w:tc>
          <w:tcPr>
            <w:tcW w:type="dxa" w:w="4060"/>
            <w:tcMar>
              <w:top w:w="80" w:type="dxa"/>
              <w:start w:w="120" w:type="dxa"/>
              <w:bottom w:w="80" w:type="dxa"/>
              <w:end w:w="120" w:type="dxa"/>
            </w:tcMar>
            <w:vAlign w:val="center"/>
          </w:tcPr>
          <w:p>
            <w:pPr>
              <w:spacing w:after="20"/>
            </w:pPr>
            <w:r>
              <w:rPr>
                <w:sz w:val="18"/>
              </w:rPr>
              <w:t>≥99.9% correct classification across ≥10,000 repeated reads under controlled conditions.</w:t>
            </w:r>
          </w:p>
        </w:tc>
      </w:tr>
      <w:tr>
        <w:tc>
          <w:tcPr>
            <w:tcW w:type="dxa" w:w="600"/>
            <w:tcMar>
              <w:top w:w="80" w:type="dxa"/>
              <w:start w:w="120" w:type="dxa"/>
              <w:bottom w:w="80" w:type="dxa"/>
              <w:end w:w="120" w:type="dxa"/>
            </w:tcMar>
            <w:vAlign w:val="center"/>
          </w:tcPr>
          <w:p>
            <w:pPr>
              <w:spacing w:after="20"/>
            </w:pPr>
            <w:r>
              <w:rPr>
                <w:sz w:val="18"/>
              </w:rPr>
              <w:t>H2</w:t>
            </w:r>
          </w:p>
        </w:tc>
        <w:tc>
          <w:tcPr>
            <w:tcW w:type="dxa" w:w="4700"/>
            <w:tcMar>
              <w:top w:w="80" w:type="dxa"/>
              <w:start w:w="120" w:type="dxa"/>
              <w:bottom w:w="80" w:type="dxa"/>
              <w:end w:w="120" w:type="dxa"/>
            </w:tcMar>
            <w:vAlign w:val="center"/>
          </w:tcPr>
          <w:p>
            <w:pPr>
              <w:spacing w:after="20"/>
            </w:pPr>
            <w:r>
              <w:rPr>
                <w:sz w:val="18"/>
              </w:rPr>
              <w:t>Five wavelength channels can be measured independently after calibration.</w:t>
            </w:r>
          </w:p>
        </w:tc>
        <w:tc>
          <w:tcPr>
            <w:tcW w:type="dxa" w:w="4060"/>
            <w:tcMar>
              <w:top w:w="80" w:type="dxa"/>
              <w:start w:w="120" w:type="dxa"/>
              <w:bottom w:w="80" w:type="dxa"/>
              <w:end w:w="120" w:type="dxa"/>
            </w:tcMar>
            <w:vAlign w:val="center"/>
          </w:tcPr>
          <w:p>
            <w:pPr>
              <w:spacing w:after="20"/>
            </w:pPr>
            <w:r>
              <w:rPr>
                <w:sz w:val="18"/>
              </w:rPr>
              <w:t>Adjacent-class separation ≥6σ and a measured 5×5 crosstalk matrix suitable for software compensation.</w:t>
            </w:r>
          </w:p>
        </w:tc>
      </w:tr>
      <w:tr>
        <w:tc>
          <w:tcPr>
            <w:tcW w:type="dxa" w:w="600"/>
            <w:tcMar>
              <w:top w:w="80" w:type="dxa"/>
              <w:start w:w="120" w:type="dxa"/>
              <w:bottom w:w="80" w:type="dxa"/>
              <w:end w:w="120" w:type="dxa"/>
            </w:tcMar>
            <w:vAlign w:val="center"/>
          </w:tcPr>
          <w:p>
            <w:pPr>
              <w:spacing w:after="20"/>
            </w:pPr>
            <w:r>
              <w:rPr>
                <w:sz w:val="18"/>
              </w:rPr>
              <w:t>H3</w:t>
            </w:r>
          </w:p>
        </w:tc>
        <w:tc>
          <w:tcPr>
            <w:tcW w:type="dxa" w:w="4700"/>
            <w:tcMar>
              <w:top w:w="80" w:type="dxa"/>
              <w:start w:w="120" w:type="dxa"/>
              <w:bottom w:w="80" w:type="dxa"/>
              <w:end w:w="120" w:type="dxa"/>
            </w:tcMar>
            <w:vAlign w:val="center"/>
          </w:tcPr>
          <w:p>
            <w:pPr>
              <w:spacing w:after="20"/>
            </w:pPr>
            <w:r>
              <w:rPr>
                <w:sz w:val="18"/>
              </w:rPr>
              <w:t>The fifth channel reliably identifies single-channel symbol corruption.</w:t>
            </w:r>
          </w:p>
        </w:tc>
        <w:tc>
          <w:tcPr>
            <w:tcW w:type="dxa" w:w="4060"/>
            <w:tcMar>
              <w:top w:w="80" w:type="dxa"/>
              <w:start w:w="120" w:type="dxa"/>
              <w:bottom w:w="80" w:type="dxa"/>
              <w:end w:w="120" w:type="dxa"/>
            </w:tcMar>
            <w:vAlign w:val="center"/>
          </w:tcPr>
          <w:p>
            <w:pPr>
              <w:spacing w:after="20"/>
            </w:pPr>
            <w:r>
              <w:rPr>
                <w:sz w:val="18"/>
              </w:rPr>
              <w:t>All deliberately injected single-channel errors flagged; false-positive rate reported.</w:t>
            </w:r>
          </w:p>
        </w:tc>
      </w:tr>
      <w:tr>
        <w:tc>
          <w:tcPr>
            <w:tcW w:type="dxa" w:w="600"/>
            <w:tcMar>
              <w:top w:w="80" w:type="dxa"/>
              <w:start w:w="120" w:type="dxa"/>
              <w:bottom w:w="80" w:type="dxa"/>
              <w:end w:w="120" w:type="dxa"/>
            </w:tcMar>
            <w:vAlign w:val="center"/>
          </w:tcPr>
          <w:p>
            <w:pPr>
              <w:spacing w:after="20"/>
            </w:pPr>
            <w:r>
              <w:rPr>
                <w:sz w:val="18"/>
              </w:rPr>
              <w:t>H4</w:t>
            </w:r>
          </w:p>
        </w:tc>
        <w:tc>
          <w:tcPr>
            <w:tcW w:type="dxa" w:w="4700"/>
            <w:tcMar>
              <w:top w:w="80" w:type="dxa"/>
              <w:start w:w="120" w:type="dxa"/>
              <w:bottom w:w="80" w:type="dxa"/>
              <w:end w:w="120" w:type="dxa"/>
            </w:tcMar>
            <w:vAlign w:val="center"/>
          </w:tcPr>
          <w:p>
            <w:pPr>
              <w:spacing w:after="20"/>
            </w:pPr>
            <w:r>
              <w:rPr>
                <w:sz w:val="18"/>
              </w:rPr>
              <w:t>Reed–Solomon decoding improves end-to-end recovery after flagged errors.</w:t>
            </w:r>
          </w:p>
        </w:tc>
        <w:tc>
          <w:tcPr>
            <w:tcW w:type="dxa" w:w="4060"/>
            <w:tcMar>
              <w:top w:w="80" w:type="dxa"/>
              <w:start w:w="120" w:type="dxa"/>
              <w:bottom w:w="80" w:type="dxa"/>
              <w:end w:w="120" w:type="dxa"/>
            </w:tcMar>
            <w:vAlign w:val="center"/>
          </w:tcPr>
          <w:p>
            <w:pPr>
              <w:spacing w:after="20"/>
            </w:pPr>
            <w:r>
              <w:rPr>
                <w:sz w:val="18"/>
              </w:rPr>
              <w:t>Measured pre- and post-ECC byte error rates with reproducible test vectors.</w:t>
            </w:r>
          </w:p>
        </w:tc>
      </w:tr>
      <w:tr>
        <w:tc>
          <w:tcPr>
            <w:tcW w:type="dxa" w:w="600"/>
            <w:tcMar>
              <w:top w:w="80" w:type="dxa"/>
              <w:start w:w="120" w:type="dxa"/>
              <w:bottom w:w="80" w:type="dxa"/>
              <w:end w:w="120" w:type="dxa"/>
            </w:tcMar>
            <w:vAlign w:val="center"/>
          </w:tcPr>
          <w:p>
            <w:pPr>
              <w:spacing w:after="20"/>
            </w:pPr>
            <w:r>
              <w:rPr>
                <w:sz w:val="18"/>
              </w:rPr>
              <w:t>H5</w:t>
            </w:r>
          </w:p>
        </w:tc>
        <w:tc>
          <w:tcPr>
            <w:tcW w:type="dxa" w:w="4700"/>
            <w:tcMar>
              <w:top w:w="80" w:type="dxa"/>
              <w:start w:w="120" w:type="dxa"/>
              <w:bottom w:w="80" w:type="dxa"/>
              <w:end w:w="120" w:type="dxa"/>
            </w:tcMar>
            <w:vAlign w:val="center"/>
          </w:tcPr>
          <w:p>
            <w:pPr>
              <w:spacing w:after="20"/>
            </w:pPr>
            <w:r>
              <w:rPr>
                <w:sz w:val="18"/>
              </w:rPr>
              <w:t>A permanent glass process can retain multiple readable levels.</w:t>
            </w:r>
          </w:p>
        </w:tc>
        <w:tc>
          <w:tcPr>
            <w:tcW w:type="dxa" w:w="4060"/>
            <w:tcMar>
              <w:top w:w="80" w:type="dxa"/>
              <w:start w:w="120" w:type="dxa"/>
              <w:bottom w:w="80" w:type="dxa"/>
              <w:end w:w="120" w:type="dxa"/>
            </w:tcMar>
            <w:vAlign w:val="center"/>
          </w:tcPr>
          <w:p>
            <w:pPr>
              <w:spacing w:after="20"/>
            </w:pPr>
            <w:r>
              <w:rPr>
                <w:sz w:val="18"/>
              </w:rPr>
              <w:t>Phase 3 only: retained separability after thermal and repeated-read testing.</w:t>
            </w:r>
          </w:p>
        </w:tc>
      </w:tr>
    </w:tbl>
    <w:p>
      <w:pPr>
        <w:spacing w:after="0"/>
      </w:pPr>
    </w:p>
    <w:p>
      <w:r>
        <w:rPr>
          <w:rFonts w:ascii="Calibri" w:hAnsi="Calibri"/>
          <w:b/>
          <w:color w:val="9B1C1C"/>
          <w:sz w:val="22"/>
        </w:rPr>
        <w:t xml:space="preserve">Excluded from the initial claim set: </w:t>
      </w:r>
      <w:r>
        <w:t>100 MB/cm² density, 1,000-year lifetime, exabyte economics, zero total system power, and commercial write throughput. These remain design targets until independently demonstrated.</w:t>
      </w:r>
    </w:p>
    <w:p>
      <w:pPr>
        <w:pStyle w:val="Heading1"/>
      </w:pPr>
      <w:r>
        <w:t>3. Technical concept under evaluation</w:t>
      </w:r>
    </w:p>
    <w:tbl>
      <w:tblPr>
        <w:tblStyle w:val="TableGrid"/>
        <w:tblW w:type="dxa" w:w="9360"/>
        <w:jc w:val="left"/>
        <w:tblLayout w:type="fixed"/>
        <w:tblLook w:firstColumn="1" w:firstRow="1" w:lastColumn="0" w:lastRow="0" w:noHBand="0" w:noVBand="1" w:val="04A0"/>
        <w:tblInd w:w="120" w:type="dxa"/>
      </w:tblPr>
      <w:tblGrid>
        <w:gridCol w:w="1000"/>
        <w:gridCol w:w="1900"/>
        <w:gridCol w:w="3460"/>
        <w:gridCol w:w="3000"/>
      </w:tblGrid>
      <w:tr>
        <w:tc>
          <w:tcPr>
            <w:tcW w:type="dxa" w:w="1000"/>
            <w:tcMar>
              <w:top w:w="80" w:type="dxa"/>
              <w:start w:w="120" w:type="dxa"/>
              <w:bottom w:w="80" w:type="dxa"/>
              <w:end w:w="120" w:type="dxa"/>
            </w:tcMar>
            <w:vAlign w:val="center"/>
            <w:shd w:fill="E8EEF5"/>
          </w:tcPr>
          <w:p>
            <w:r>
              <w:rPr>
                <w:b/>
                <w:color w:val="1F4E79"/>
                <w:sz w:val="19"/>
              </w:rPr>
              <w:t>Channel</w:t>
            </w:r>
          </w:p>
        </w:tc>
        <w:tc>
          <w:tcPr>
            <w:tcW w:type="dxa" w:w="1900"/>
            <w:tcMar>
              <w:top w:w="80" w:type="dxa"/>
              <w:start w:w="120" w:type="dxa"/>
              <w:bottom w:w="80" w:type="dxa"/>
              <w:end w:w="120" w:type="dxa"/>
            </w:tcMar>
            <w:vAlign w:val="center"/>
            <w:shd w:fill="E8EEF5"/>
          </w:tcPr>
          <w:p>
            <w:r>
              <w:rPr>
                <w:b/>
                <w:color w:val="1F4E79"/>
                <w:sz w:val="19"/>
              </w:rPr>
              <w:t>Nominal wavelength</w:t>
            </w:r>
          </w:p>
        </w:tc>
        <w:tc>
          <w:tcPr>
            <w:tcW w:type="dxa" w:w="3460"/>
            <w:tcMar>
              <w:top w:w="80" w:type="dxa"/>
              <w:start w:w="120" w:type="dxa"/>
              <w:bottom w:w="80" w:type="dxa"/>
              <w:end w:w="120" w:type="dxa"/>
            </w:tcMar>
            <w:vAlign w:val="center"/>
            <w:shd w:fill="E8EEF5"/>
          </w:tcPr>
          <w:p>
            <w:r>
              <w:rPr>
                <w:b/>
                <w:color w:val="1F4E79"/>
                <w:sz w:val="19"/>
              </w:rPr>
              <w:t>Payload role</w:t>
            </w:r>
          </w:p>
        </w:tc>
        <w:tc>
          <w:tcPr>
            <w:tcW w:type="dxa" w:w="3000"/>
            <w:tcMar>
              <w:top w:w="80" w:type="dxa"/>
              <w:start w:w="120" w:type="dxa"/>
              <w:bottom w:w="80" w:type="dxa"/>
              <w:end w:w="120" w:type="dxa"/>
            </w:tcMar>
            <w:vAlign w:val="center"/>
            <w:shd w:fill="E8EEF5"/>
          </w:tcPr>
          <w:p>
            <w:r>
              <w:rPr>
                <w:b/>
                <w:color w:val="1F4E79"/>
                <w:sz w:val="19"/>
              </w:rPr>
              <w:t>Four-level symbol</w:t>
            </w:r>
          </w:p>
        </w:tc>
      </w:tr>
      <w:tr>
        <w:tc>
          <w:tcPr>
            <w:tcW w:type="dxa" w:w="1000"/>
            <w:tcMar>
              <w:top w:w="80" w:type="dxa"/>
              <w:start w:w="120" w:type="dxa"/>
              <w:bottom w:w="80" w:type="dxa"/>
              <w:end w:w="120" w:type="dxa"/>
            </w:tcMar>
            <w:vAlign w:val="center"/>
          </w:tcPr>
          <w:p>
            <w:pPr>
              <w:spacing w:after="20"/>
            </w:pPr>
            <w:r>
              <w:rPr>
                <w:sz w:val="18"/>
              </w:rPr>
              <w:t>R</w:t>
            </w:r>
          </w:p>
        </w:tc>
        <w:tc>
          <w:tcPr>
            <w:tcW w:type="dxa" w:w="1900"/>
            <w:tcMar>
              <w:top w:w="80" w:type="dxa"/>
              <w:start w:w="120" w:type="dxa"/>
              <w:bottom w:w="80" w:type="dxa"/>
              <w:end w:w="120" w:type="dxa"/>
            </w:tcMar>
            <w:vAlign w:val="center"/>
          </w:tcPr>
          <w:p>
            <w:pPr>
              <w:spacing w:after="20"/>
            </w:pPr>
            <w:r>
              <w:rPr>
                <w:sz w:val="18"/>
              </w:rPr>
              <w:t>630–635 nm</w:t>
            </w:r>
          </w:p>
        </w:tc>
        <w:tc>
          <w:tcPr>
            <w:tcW w:type="dxa" w:w="3460"/>
            <w:tcMar>
              <w:top w:w="80" w:type="dxa"/>
              <w:start w:w="120" w:type="dxa"/>
              <w:bottom w:w="80" w:type="dxa"/>
              <w:end w:w="120" w:type="dxa"/>
            </w:tcMar>
            <w:vAlign w:val="center"/>
          </w:tcPr>
          <w:p>
            <w:pPr>
              <w:spacing w:after="20"/>
            </w:pPr>
            <w:r>
              <w:rPr>
                <w:sz w:val="18"/>
              </w:rPr>
              <w:t>Bits 7–6</w:t>
            </w:r>
          </w:p>
        </w:tc>
        <w:tc>
          <w:tcPr>
            <w:tcW w:type="dxa" w:w="3000"/>
            <w:tcMar>
              <w:top w:w="80" w:type="dxa"/>
              <w:start w:w="120" w:type="dxa"/>
              <w:bottom w:w="80" w:type="dxa"/>
              <w:end w:w="120" w:type="dxa"/>
            </w:tcMar>
            <w:vAlign w:val="center"/>
          </w:tcPr>
          <w:p>
            <w:pPr>
              <w:spacing w:after="20"/>
            </w:pPr>
            <w:r>
              <w:rPr>
                <w:sz w:val="18"/>
              </w:rPr>
              <w:t>0–3</w:t>
            </w:r>
          </w:p>
        </w:tc>
      </w:tr>
      <w:tr>
        <w:tc>
          <w:tcPr>
            <w:tcW w:type="dxa" w:w="1000"/>
            <w:tcMar>
              <w:top w:w="80" w:type="dxa"/>
              <w:start w:w="120" w:type="dxa"/>
              <w:bottom w:w="80" w:type="dxa"/>
              <w:end w:w="120" w:type="dxa"/>
            </w:tcMar>
            <w:vAlign w:val="center"/>
          </w:tcPr>
          <w:p>
            <w:pPr>
              <w:spacing w:after="20"/>
            </w:pPr>
            <w:r>
              <w:rPr>
                <w:sz w:val="18"/>
              </w:rPr>
              <w:t>G</w:t>
            </w:r>
          </w:p>
        </w:tc>
        <w:tc>
          <w:tcPr>
            <w:tcW w:type="dxa" w:w="1900"/>
            <w:tcMar>
              <w:top w:w="80" w:type="dxa"/>
              <w:start w:w="120" w:type="dxa"/>
              <w:bottom w:w="80" w:type="dxa"/>
              <w:end w:w="120" w:type="dxa"/>
            </w:tcMar>
            <w:vAlign w:val="center"/>
          </w:tcPr>
          <w:p>
            <w:pPr>
              <w:spacing w:after="20"/>
            </w:pPr>
            <w:r>
              <w:rPr>
                <w:sz w:val="18"/>
              </w:rPr>
              <w:t>520–530 nm</w:t>
            </w:r>
          </w:p>
        </w:tc>
        <w:tc>
          <w:tcPr>
            <w:tcW w:type="dxa" w:w="3460"/>
            <w:tcMar>
              <w:top w:w="80" w:type="dxa"/>
              <w:start w:w="120" w:type="dxa"/>
              <w:bottom w:w="80" w:type="dxa"/>
              <w:end w:w="120" w:type="dxa"/>
            </w:tcMar>
            <w:vAlign w:val="center"/>
          </w:tcPr>
          <w:p>
            <w:pPr>
              <w:spacing w:after="20"/>
            </w:pPr>
            <w:r>
              <w:rPr>
                <w:sz w:val="18"/>
              </w:rPr>
              <w:t>Bits 5–4</w:t>
            </w:r>
          </w:p>
        </w:tc>
        <w:tc>
          <w:tcPr>
            <w:tcW w:type="dxa" w:w="3000"/>
            <w:tcMar>
              <w:top w:w="80" w:type="dxa"/>
              <w:start w:w="120" w:type="dxa"/>
              <w:bottom w:w="80" w:type="dxa"/>
              <w:end w:w="120" w:type="dxa"/>
            </w:tcMar>
            <w:vAlign w:val="center"/>
          </w:tcPr>
          <w:p>
            <w:pPr>
              <w:spacing w:after="20"/>
            </w:pPr>
            <w:r>
              <w:rPr>
                <w:sz w:val="18"/>
              </w:rPr>
              <w:t>0–3</w:t>
            </w:r>
          </w:p>
        </w:tc>
      </w:tr>
      <w:tr>
        <w:tc>
          <w:tcPr>
            <w:tcW w:type="dxa" w:w="1000"/>
            <w:tcMar>
              <w:top w:w="80" w:type="dxa"/>
              <w:start w:w="120" w:type="dxa"/>
              <w:bottom w:w="80" w:type="dxa"/>
              <w:end w:w="120" w:type="dxa"/>
            </w:tcMar>
            <w:vAlign w:val="center"/>
          </w:tcPr>
          <w:p>
            <w:pPr>
              <w:spacing w:after="20"/>
            </w:pPr>
            <w:r>
              <w:rPr>
                <w:sz w:val="18"/>
              </w:rPr>
              <w:t>B</w:t>
            </w:r>
          </w:p>
        </w:tc>
        <w:tc>
          <w:tcPr>
            <w:tcW w:type="dxa" w:w="1900"/>
            <w:tcMar>
              <w:top w:w="80" w:type="dxa"/>
              <w:start w:w="120" w:type="dxa"/>
              <w:bottom w:w="80" w:type="dxa"/>
              <w:end w:w="120" w:type="dxa"/>
            </w:tcMar>
            <w:vAlign w:val="center"/>
          </w:tcPr>
          <w:p>
            <w:pPr>
              <w:spacing w:after="20"/>
            </w:pPr>
            <w:r>
              <w:rPr>
                <w:sz w:val="18"/>
              </w:rPr>
              <w:t>450–470 nm</w:t>
            </w:r>
          </w:p>
        </w:tc>
        <w:tc>
          <w:tcPr>
            <w:tcW w:type="dxa" w:w="3460"/>
            <w:tcMar>
              <w:top w:w="80" w:type="dxa"/>
              <w:start w:w="120" w:type="dxa"/>
              <w:bottom w:w="80" w:type="dxa"/>
              <w:end w:w="120" w:type="dxa"/>
            </w:tcMar>
            <w:vAlign w:val="center"/>
          </w:tcPr>
          <w:p>
            <w:pPr>
              <w:spacing w:after="20"/>
            </w:pPr>
            <w:r>
              <w:rPr>
                <w:sz w:val="18"/>
              </w:rPr>
              <w:t>Bits 3–2</w:t>
            </w:r>
          </w:p>
        </w:tc>
        <w:tc>
          <w:tcPr>
            <w:tcW w:type="dxa" w:w="3000"/>
            <w:tcMar>
              <w:top w:w="80" w:type="dxa"/>
              <w:start w:w="120" w:type="dxa"/>
              <w:bottom w:w="80" w:type="dxa"/>
              <w:end w:w="120" w:type="dxa"/>
            </w:tcMar>
            <w:vAlign w:val="center"/>
          </w:tcPr>
          <w:p>
            <w:pPr>
              <w:spacing w:after="20"/>
            </w:pPr>
            <w:r>
              <w:rPr>
                <w:sz w:val="18"/>
              </w:rPr>
              <w:t>0–3</w:t>
            </w:r>
          </w:p>
        </w:tc>
      </w:tr>
      <w:tr>
        <w:tc>
          <w:tcPr>
            <w:tcW w:type="dxa" w:w="1000"/>
            <w:tcMar>
              <w:top w:w="80" w:type="dxa"/>
              <w:start w:w="120" w:type="dxa"/>
              <w:bottom w:w="80" w:type="dxa"/>
              <w:end w:w="120" w:type="dxa"/>
            </w:tcMar>
            <w:vAlign w:val="center"/>
          </w:tcPr>
          <w:p>
            <w:pPr>
              <w:spacing w:after="20"/>
            </w:pPr>
            <w:r>
              <w:rPr>
                <w:sz w:val="18"/>
              </w:rPr>
              <w:t>V</w:t>
            </w:r>
          </w:p>
        </w:tc>
        <w:tc>
          <w:tcPr>
            <w:tcW w:type="dxa" w:w="1900"/>
            <w:tcMar>
              <w:top w:w="80" w:type="dxa"/>
              <w:start w:w="120" w:type="dxa"/>
              <w:bottom w:w="80" w:type="dxa"/>
              <w:end w:w="120" w:type="dxa"/>
            </w:tcMar>
            <w:vAlign w:val="center"/>
          </w:tcPr>
          <w:p>
            <w:pPr>
              <w:spacing w:after="20"/>
            </w:pPr>
            <w:r>
              <w:rPr>
                <w:sz w:val="18"/>
              </w:rPr>
              <w:t>405–410 nm</w:t>
            </w:r>
          </w:p>
        </w:tc>
        <w:tc>
          <w:tcPr>
            <w:tcW w:type="dxa" w:w="3460"/>
            <w:tcMar>
              <w:top w:w="80" w:type="dxa"/>
              <w:start w:w="120" w:type="dxa"/>
              <w:bottom w:w="80" w:type="dxa"/>
              <w:end w:w="120" w:type="dxa"/>
            </w:tcMar>
            <w:vAlign w:val="center"/>
          </w:tcPr>
          <w:p>
            <w:pPr>
              <w:spacing w:after="20"/>
            </w:pPr>
            <w:r>
              <w:rPr>
                <w:sz w:val="18"/>
              </w:rPr>
              <w:t>Bits 1–0</w:t>
            </w:r>
          </w:p>
        </w:tc>
        <w:tc>
          <w:tcPr>
            <w:tcW w:type="dxa" w:w="3000"/>
            <w:tcMar>
              <w:top w:w="80" w:type="dxa"/>
              <w:start w:w="120" w:type="dxa"/>
              <w:bottom w:w="80" w:type="dxa"/>
              <w:end w:w="120" w:type="dxa"/>
            </w:tcMar>
            <w:vAlign w:val="center"/>
          </w:tcPr>
          <w:p>
            <w:pPr>
              <w:spacing w:after="20"/>
            </w:pPr>
            <w:r>
              <w:rPr>
                <w:sz w:val="18"/>
              </w:rPr>
              <w:t>0–3</w:t>
            </w:r>
          </w:p>
        </w:tc>
      </w:tr>
      <w:tr>
        <w:tc>
          <w:tcPr>
            <w:tcW w:type="dxa" w:w="1000"/>
            <w:tcMar>
              <w:top w:w="80" w:type="dxa"/>
              <w:start w:w="120" w:type="dxa"/>
              <w:bottom w:w="80" w:type="dxa"/>
              <w:end w:w="120" w:type="dxa"/>
            </w:tcMar>
            <w:vAlign w:val="center"/>
          </w:tcPr>
          <w:p>
            <w:pPr>
              <w:spacing w:after="20"/>
            </w:pPr>
            <w:r>
              <w:rPr>
                <w:sz w:val="18"/>
              </w:rPr>
              <w:t>UV/check</w:t>
            </w:r>
          </w:p>
        </w:tc>
        <w:tc>
          <w:tcPr>
            <w:tcW w:type="dxa" w:w="1900"/>
            <w:tcMar>
              <w:top w:w="80" w:type="dxa"/>
              <w:start w:w="120" w:type="dxa"/>
              <w:bottom w:w="80" w:type="dxa"/>
              <w:end w:w="120" w:type="dxa"/>
            </w:tcMar>
            <w:vAlign w:val="center"/>
          </w:tcPr>
          <w:p>
            <w:pPr>
              <w:spacing w:after="20"/>
            </w:pPr>
            <w:r>
              <w:rPr>
                <w:sz w:val="18"/>
              </w:rPr>
              <w:t>405 nm concept channel*</w:t>
            </w:r>
          </w:p>
        </w:tc>
        <w:tc>
          <w:tcPr>
            <w:tcW w:type="dxa" w:w="3460"/>
            <w:tcMar>
              <w:top w:w="80" w:type="dxa"/>
              <w:start w:w="120" w:type="dxa"/>
              <w:bottom w:w="80" w:type="dxa"/>
              <w:end w:w="120" w:type="dxa"/>
            </w:tcMar>
            <w:vAlign w:val="center"/>
          </w:tcPr>
          <w:p>
            <w:pPr>
              <w:spacing w:after="20"/>
            </w:pPr>
            <w:r>
              <w:rPr>
                <w:sz w:val="18"/>
              </w:rPr>
              <w:t>Modulo-4 check symbol</w:t>
            </w:r>
          </w:p>
        </w:tc>
        <w:tc>
          <w:tcPr>
            <w:tcW w:type="dxa" w:w="3000"/>
            <w:tcMar>
              <w:top w:w="80" w:type="dxa"/>
              <w:start w:w="120" w:type="dxa"/>
              <w:bottom w:w="80" w:type="dxa"/>
              <w:end w:w="120" w:type="dxa"/>
            </w:tcMar>
            <w:vAlign w:val="center"/>
          </w:tcPr>
          <w:p>
            <w:pPr>
              <w:spacing w:after="20"/>
            </w:pPr>
            <w:r>
              <w:rPr>
                <w:sz w:val="18"/>
              </w:rPr>
              <w:t>0–3</w:t>
            </w:r>
          </w:p>
        </w:tc>
      </w:tr>
    </w:tbl>
    <w:p>
      <w:pPr>
        <w:spacing w:after="0"/>
      </w:pPr>
    </w:p>
    <w:p>
      <w:r>
        <w:t>*The current V and UV nominal wavelengths are too closely spaced for a credible independent channel assumption. A partner laboratory should select non-overlapping passbands or redesign the fifth-channel wavelength before the five-channel test. This is a required optical-design review item.</w:t>
      </w:r>
    </w:p>
    <w:p>
      <w:r>
        <w:t>For data symbols dR, dG, dB and dV in {0,1,2,3}, the proposed check symbol is c = (dR + dG + dB + dV) mod 4. This detects any single-channel change, but it does not detect every possible multi-channel error. Reed–Solomon coding remains necessary for block-level correction.</w:t>
      </w:r>
    </w:p>
    <w:p>
      <w:pPr>
        <w:pStyle w:val="Heading1"/>
      </w:pPr>
      <w:r>
        <w:t>4. Proposed experimental programme</w:t>
      </w:r>
    </w:p>
    <w:p>
      <w:pPr>
        <w:pStyle w:val="Heading2"/>
      </w:pPr>
      <w:r>
        <w:t>Phase 0 — Optical and coding design audit (2 weeks)</w:t>
      </w:r>
    </w:p>
    <w:p>
      <w:pPr>
        <w:pStyle w:val="ListNumber"/>
      </w:pPr>
      <w:r>
        <w:t>Review wavelength separation, filter bandwidths, detector responsivity and the physical meaning of four written levels.</w:t>
      </w:r>
    </w:p>
    <w:p>
      <w:pPr>
        <w:pStyle w:val="ListNumber"/>
      </w:pPr>
      <w:r>
        <w:t>Recalculate the link budget, required signal-to-noise ratio and crosstalk tolerance.</w:t>
      </w:r>
    </w:p>
    <w:p>
      <w:pPr>
        <w:pStyle w:val="ListNumber"/>
      </w:pPr>
      <w:r>
        <w:t>Verify the modulo-4 check logic and define reproducible software test vectors.</w:t>
      </w:r>
    </w:p>
    <w:p>
      <w:pPr>
        <w:pStyle w:val="ListNumber"/>
      </w:pPr>
      <w:r>
        <w:t>Select a safe test medium and approve laser-safety procedures.</w:t>
      </w:r>
    </w:p>
    <w:p>
      <w:r>
        <w:t>Gate 0: proceed only if the partner identifies a physically plausible five-channel readout architecture.</w:t>
      </w:r>
    </w:p>
    <w:p>
      <w:pPr>
        <w:pStyle w:val="Heading2"/>
      </w:pPr>
      <w:r>
        <w:t>Phase 1 — Single-channel four-level experiment (4–6 weeks)</w:t>
      </w:r>
    </w:p>
    <w:p>
      <w:pPr>
        <w:pStyle w:val="ListNumber"/>
      </w:pPr>
      <w:r>
        <w:t>Write or emulate four controlled optical levels on a 10×10 or larger calibration grid.</w:t>
      </w:r>
    </w:p>
    <w:p>
      <w:pPr>
        <w:pStyle w:val="ListNumber"/>
      </w:pPr>
      <w:r>
        <w:t>Acquire repeated measurements across temperature, position and read cycles.</w:t>
      </w:r>
    </w:p>
    <w:p>
      <w:pPr>
        <w:pStyle w:val="ListNumber"/>
      </w:pPr>
      <w:r>
        <w:t>Fit thresholds from reserved calibration cells and report class distributions and confusion matrices.</w:t>
      </w:r>
    </w:p>
    <w:p>
      <w:pPr>
        <w:pStyle w:val="ListNumber"/>
      </w:pPr>
      <w:r>
        <w:t>Repeat using at least two independent samples to separate material variation from instrument noise.</w:t>
      </w:r>
    </w:p>
    <w:p>
      <w:r>
        <w:t>Gate 1: ≥99.9% classification and ≥6σ adjacent-class separation under the agreed test conditions.</w:t>
      </w:r>
    </w:p>
    <w:p>
      <w:pPr>
        <w:pStyle w:val="Heading2"/>
      </w:pPr>
      <w:r>
        <w:t>Phase 2 — Five-channel stack and error-control demonstration (4–6 weeks)</w:t>
      </w:r>
    </w:p>
    <w:p>
      <w:pPr>
        <w:pStyle w:val="ListNumber"/>
      </w:pPr>
      <w:r>
        <w:t>Assemble five spectrally separated paths or coated test plates with independently measurable responses.</w:t>
      </w:r>
    </w:p>
    <w:p>
      <w:pPr>
        <w:pStyle w:val="ListNumber"/>
      </w:pPr>
      <w:r>
        <w:t>Measure the full crosstalk matrix and apply a documented software calibration matrix where justified.</w:t>
      </w:r>
    </w:p>
    <w:p>
      <w:pPr>
        <w:pStyle w:val="ListNumber"/>
      </w:pPr>
      <w:r>
        <w:t>Encode random and structured files, inject controlled channel errors, and compare raw, check-symbol and Reed–Solomon recovery.</w:t>
      </w:r>
    </w:p>
    <w:p>
      <w:pPr>
        <w:pStyle w:val="ListNumber"/>
      </w:pPr>
      <w:r>
        <w:t>Report energy per write/read operation; distinguish media idle power from controller and reader power.</w:t>
      </w:r>
    </w:p>
    <w:p>
      <w:r>
        <w:t>Gate 2: all single-channel injected errors flagged, post-ECC recovery demonstrated, and no unexplained channel coupling.</w:t>
      </w:r>
    </w:p>
    <w:p>
      <w:pPr>
        <w:pStyle w:val="Heading2"/>
      </w:pPr>
      <w:r>
        <w:t>Phase 3 — Permanent ultrafast-laser inscription (separate project)</w:t>
      </w:r>
    </w:p>
    <w:p>
      <w:r>
        <w:t>If Phases 0–2 succeed, the partner may propose femtosecond-laser inscription in borosilicate, fused silica or another qualified medium. This phase should test pulse energy, repetition rate, focal depth, voxel pitch, multi-level retention, thermal cycling and accelerated aging. It requires a new budget and must not inherit the 100 MB/cm² assumption without measurement.</w:t>
      </w:r>
    </w:p>
    <w:p>
      <w:pPr>
        <w:pStyle w:val="Heading1"/>
      </w:pPr>
      <w:r>
        <w:t>5. Required equipment and contributions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center"/>
            <w:shd w:fill="E8EEF5"/>
          </w:tcPr>
          <w:p>
            <w:r>
              <w:rPr>
                <w:b/>
                <w:color w:val="1F4E79"/>
                <w:sz w:val="19"/>
              </w:rPr>
              <w:t>PRISME contribution</w:t>
            </w:r>
          </w:p>
        </w:tc>
        <w:tc>
          <w:tcPr>
            <w:tcW w:type="dxa" w:w="4680"/>
            <w:tcMar>
              <w:top w:w="80" w:type="dxa"/>
              <w:start w:w="120" w:type="dxa"/>
              <w:bottom w:w="80" w:type="dxa"/>
              <w:end w:w="120" w:type="dxa"/>
            </w:tcMar>
            <w:vAlign w:val="center"/>
            <w:shd w:fill="E8EEF5"/>
          </w:tcPr>
          <w:p>
            <w:r>
              <w:rPr>
                <w:b/>
                <w:color w:val="1F4E79"/>
                <w:sz w:val="19"/>
              </w:rPr>
              <w:t>University contribution</w:t>
            </w:r>
          </w:p>
        </w:tc>
      </w:tr>
      <w:tr>
        <w:tc>
          <w:tcPr>
            <w:tcW w:type="dxa" w:w="4680"/>
            <w:tcMar>
              <w:top w:w="80" w:type="dxa"/>
              <w:start w:w="120" w:type="dxa"/>
              <w:bottom w:w="80" w:type="dxa"/>
              <w:end w:w="120" w:type="dxa"/>
            </w:tcMar>
            <w:vAlign w:val="center"/>
          </w:tcPr>
          <w:p>
            <w:pPr>
              <w:spacing w:after="20"/>
            </w:pPr>
            <w:r>
              <w:rPr>
                <w:sz w:val="18"/>
              </w:rPr>
              <w:t>Encoding/decoding software, test vectors, repository and technical documentation.</w:t>
            </w:r>
          </w:p>
        </w:tc>
        <w:tc>
          <w:tcPr>
            <w:tcW w:type="dxa" w:w="4680"/>
            <w:tcMar>
              <w:top w:w="80" w:type="dxa"/>
              <w:start w:w="120" w:type="dxa"/>
              <w:bottom w:w="80" w:type="dxa"/>
              <w:end w:w="120" w:type="dxa"/>
            </w:tcMar>
            <w:vAlign w:val="center"/>
          </w:tcPr>
          <w:p>
            <w:pPr>
              <w:spacing w:after="20"/>
            </w:pPr>
            <w:r>
              <w:rPr>
                <w:sz w:val="18"/>
              </w:rPr>
              <w:t>Optical-design review and selection of safe, physically suitable materials.</w:t>
            </w:r>
          </w:p>
        </w:tc>
      </w:tr>
      <w:tr>
        <w:tc>
          <w:tcPr>
            <w:tcW w:type="dxa" w:w="4680"/>
            <w:tcMar>
              <w:top w:w="80" w:type="dxa"/>
              <w:start w:w="120" w:type="dxa"/>
              <w:bottom w:w="80" w:type="dxa"/>
              <w:end w:w="120" w:type="dxa"/>
            </w:tcMar>
            <w:vAlign w:val="center"/>
          </w:tcPr>
          <w:p>
            <w:pPr>
              <w:spacing w:after="20"/>
            </w:pPr>
            <w:r>
              <w:rPr>
                <w:sz w:val="18"/>
              </w:rPr>
              <w:t>Prototype component allowance of approximately DKK 6,700 for the tabletop experiment.</w:t>
            </w:r>
          </w:p>
        </w:tc>
        <w:tc>
          <w:tcPr>
            <w:tcW w:type="dxa" w:w="4680"/>
            <w:tcMar>
              <w:top w:w="80" w:type="dxa"/>
              <w:start w:w="120" w:type="dxa"/>
              <w:bottom w:w="80" w:type="dxa"/>
              <w:end w:w="120" w:type="dxa"/>
            </w:tcMar>
            <w:vAlign w:val="center"/>
          </w:tcPr>
          <w:p>
            <w:pPr>
              <w:spacing w:after="20"/>
            </w:pPr>
            <w:r>
              <w:rPr>
                <w:sz w:val="18"/>
              </w:rPr>
              <w:t>Laser laboratory, spectrometer or filtered photodiode readout, alignment equipment and calibrated power measurement.</w:t>
            </w:r>
          </w:p>
        </w:tc>
      </w:tr>
      <w:tr>
        <w:tc>
          <w:tcPr>
            <w:tcW w:type="dxa" w:w="4680"/>
            <w:tcMar>
              <w:top w:w="80" w:type="dxa"/>
              <w:start w:w="120" w:type="dxa"/>
              <w:bottom w:w="80" w:type="dxa"/>
              <w:end w:w="120" w:type="dxa"/>
            </w:tcMar>
            <w:vAlign w:val="center"/>
          </w:tcPr>
          <w:p>
            <w:pPr>
              <w:spacing w:after="20"/>
            </w:pPr>
            <w:r>
              <w:rPr>
                <w:sz w:val="18"/>
              </w:rPr>
              <w:t>Raspberry Pi controller integration and data-analysis scripts.</w:t>
            </w:r>
          </w:p>
        </w:tc>
        <w:tc>
          <w:tcPr>
            <w:tcW w:type="dxa" w:w="4680"/>
            <w:tcMar>
              <w:top w:w="80" w:type="dxa"/>
              <w:start w:w="120" w:type="dxa"/>
              <w:bottom w:w="80" w:type="dxa"/>
              <w:end w:w="120" w:type="dxa"/>
            </w:tcMar>
            <w:vAlign w:val="center"/>
          </w:tcPr>
          <w:p>
            <w:pPr>
              <w:spacing w:after="20"/>
            </w:pPr>
            <w:r>
              <w:rPr>
                <w:sz w:val="18"/>
              </w:rPr>
              <w:t>Qualified researcher/student time, laser-safety supervision and independent measurement records.</w:t>
            </w:r>
          </w:p>
        </w:tc>
      </w:tr>
      <w:tr>
        <w:tc>
          <w:tcPr>
            <w:tcW w:type="dxa" w:w="4680"/>
            <w:tcMar>
              <w:top w:w="80" w:type="dxa"/>
              <w:start w:w="120" w:type="dxa"/>
              <w:bottom w:w="80" w:type="dxa"/>
              <w:end w:w="120" w:type="dxa"/>
            </w:tcMar>
            <w:vAlign w:val="center"/>
          </w:tcPr>
          <w:p>
            <w:pPr>
              <w:spacing w:after="20"/>
            </w:pPr>
            <w:r>
              <w:rPr>
                <w:sz w:val="18"/>
              </w:rPr>
              <w:t>Open publication of non-confidential code and agreed results.</w:t>
            </w:r>
          </w:p>
        </w:tc>
        <w:tc>
          <w:tcPr>
            <w:tcW w:type="dxa" w:w="4680"/>
            <w:tcMar>
              <w:top w:w="80" w:type="dxa"/>
              <w:start w:w="120" w:type="dxa"/>
              <w:bottom w:w="80" w:type="dxa"/>
              <w:end w:w="120" w:type="dxa"/>
            </w:tcMar>
            <w:vAlign w:val="center"/>
          </w:tcPr>
          <w:p>
            <w:pPr>
              <w:spacing w:after="20"/>
            </w:pPr>
            <w:r>
              <w:rPr>
                <w:sz w:val="18"/>
              </w:rPr>
              <w:t>For Phase 3 only: ultrafast/femtosecond laser and precision positioning access.</w:t>
            </w:r>
          </w:p>
        </w:tc>
      </w:tr>
    </w:tbl>
    <w:p>
      <w:pPr>
        <w:spacing w:after="0"/>
      </w:pPr>
    </w:p>
    <w:p>
      <w:pPr>
        <w:pStyle w:val="Heading1"/>
      </w:pPr>
      <w:r>
        <w:t>6. Measurements and deliverables</w:t>
      </w:r>
    </w:p>
    <w:p>
      <w:pPr>
        <w:pStyle w:val="ListBullet"/>
      </w:pPr>
      <w:r>
        <w:t>Raw measurement files, calibration data and environmental conditions.</w:t>
      </w:r>
    </w:p>
    <w:p>
      <w:pPr>
        <w:pStyle w:val="ListBullet"/>
      </w:pPr>
      <w:r>
        <w:t>Per-channel histograms, confusion matrices, SNR and adjacent-level separation.</w:t>
      </w:r>
    </w:p>
    <w:p>
      <w:pPr>
        <w:pStyle w:val="ListBullet"/>
      </w:pPr>
      <w:r>
        <w:t>Measured 5×5 spectral crosstalk matrix before and after compensation.</w:t>
      </w:r>
    </w:p>
    <w:p>
      <w:pPr>
        <w:pStyle w:val="ListBullet"/>
      </w:pPr>
      <w:r>
        <w:t>Raw symbol/byte error rate and post-ECC recovery rate.</w:t>
      </w:r>
    </w:p>
    <w:p>
      <w:pPr>
        <w:pStyle w:val="ListBullet"/>
      </w:pPr>
      <w:r>
        <w:t>Media, controller, illumination and readout power reported separately.</w:t>
      </w:r>
    </w:p>
    <w:p>
      <w:pPr>
        <w:pStyle w:val="ListBullet"/>
      </w:pPr>
      <w:r>
        <w:t>Independent conclusion: supported, supported with redesign, or not supported.</w:t>
      </w:r>
    </w:p>
    <w:p>
      <w:pPr>
        <w:pStyle w:val="ListBullet"/>
      </w:pPr>
      <w:r>
        <w:t>A scoped Phase 3 plan only if the initial gates are passed.</w:t>
      </w:r>
    </w:p>
    <w:p>
      <w:r>
        <w:br w:type="page"/>
      </w:r>
    </w:p>
    <w:p>
      <w:pPr>
        <w:pStyle w:val="Heading1"/>
      </w:pPr>
      <w:r>
        <w:t>7. Indicative schedule and budget</w:t>
      </w:r>
    </w:p>
    <w:tbl>
      <w:tblPr>
        <w:tblStyle w:val="TableGrid"/>
        <w:tblW w:type="dxa" w:w="9360"/>
        <w:jc w:val="left"/>
        <w:tblLayout w:type="fixed"/>
        <w:tblLook w:firstColumn="1" w:firstRow="1" w:lastColumn="0" w:lastRow="0" w:noHBand="0" w:noVBand="1" w:val="04A0"/>
        <w:tblInd w:w="120" w:type="dxa"/>
      </w:tblPr>
      <w:tblGrid>
        <w:gridCol w:w="2700"/>
        <w:gridCol w:w="1300"/>
        <w:gridCol w:w="3360"/>
        <w:gridCol w:w="2000"/>
      </w:tblGrid>
      <w:tr>
        <w:tc>
          <w:tcPr>
            <w:tcW w:type="dxa" w:w="2700"/>
            <w:tcMar>
              <w:top w:w="80" w:type="dxa"/>
              <w:start w:w="120" w:type="dxa"/>
              <w:bottom w:w="80" w:type="dxa"/>
              <w:end w:w="120" w:type="dxa"/>
            </w:tcMar>
            <w:vAlign w:val="center"/>
            <w:shd w:fill="E8EEF5"/>
          </w:tcPr>
          <w:p>
            <w:r>
              <w:rPr>
                <w:b/>
                <w:color w:val="1F4E79"/>
                <w:sz w:val="19"/>
              </w:rPr>
              <w:t>Phase</w:t>
            </w:r>
          </w:p>
        </w:tc>
        <w:tc>
          <w:tcPr>
            <w:tcW w:type="dxa" w:w="1300"/>
            <w:tcMar>
              <w:top w:w="80" w:type="dxa"/>
              <w:start w:w="120" w:type="dxa"/>
              <w:bottom w:w="80" w:type="dxa"/>
              <w:end w:w="120" w:type="dxa"/>
            </w:tcMar>
            <w:vAlign w:val="center"/>
            <w:shd w:fill="E8EEF5"/>
          </w:tcPr>
          <w:p>
            <w:r>
              <w:rPr>
                <w:b/>
                <w:color w:val="1F4E79"/>
                <w:sz w:val="19"/>
              </w:rPr>
              <w:t>Duration</w:t>
            </w:r>
          </w:p>
        </w:tc>
        <w:tc>
          <w:tcPr>
            <w:tcW w:type="dxa" w:w="3360"/>
            <w:tcMar>
              <w:top w:w="80" w:type="dxa"/>
              <w:start w:w="120" w:type="dxa"/>
              <w:bottom w:w="80" w:type="dxa"/>
              <w:end w:w="120" w:type="dxa"/>
            </w:tcMar>
            <w:vAlign w:val="center"/>
            <w:shd w:fill="E8EEF5"/>
          </w:tcPr>
          <w:p>
            <w:r>
              <w:rPr>
                <w:b/>
                <w:color w:val="1F4E79"/>
                <w:sz w:val="19"/>
              </w:rPr>
              <w:t>Cash/material indication</w:t>
            </w:r>
          </w:p>
        </w:tc>
        <w:tc>
          <w:tcPr>
            <w:tcW w:type="dxa" w:w="2000"/>
            <w:tcMar>
              <w:top w:w="80" w:type="dxa"/>
              <w:start w:w="120" w:type="dxa"/>
              <w:bottom w:w="80" w:type="dxa"/>
              <w:end w:w="120" w:type="dxa"/>
            </w:tcMar>
            <w:vAlign w:val="center"/>
            <w:shd w:fill="E8EEF5"/>
          </w:tcPr>
          <w:p>
            <w:r>
              <w:rPr>
                <w:b/>
                <w:color w:val="1F4E79"/>
                <w:sz w:val="19"/>
              </w:rPr>
              <w:t>Decision</w:t>
            </w:r>
          </w:p>
        </w:tc>
      </w:tr>
      <w:tr>
        <w:tc>
          <w:tcPr>
            <w:tcW w:type="dxa" w:w="2700"/>
            <w:tcMar>
              <w:top w:w="80" w:type="dxa"/>
              <w:start w:w="120" w:type="dxa"/>
              <w:bottom w:w="80" w:type="dxa"/>
              <w:end w:w="120" w:type="dxa"/>
            </w:tcMar>
            <w:vAlign w:val="center"/>
          </w:tcPr>
          <w:p>
            <w:pPr>
              <w:spacing w:after="20"/>
            </w:pPr>
            <w:r>
              <w:rPr>
                <w:sz w:val="18"/>
              </w:rPr>
              <w:t>0: Audit</w:t>
            </w:r>
          </w:p>
        </w:tc>
        <w:tc>
          <w:tcPr>
            <w:tcW w:type="dxa" w:w="1300"/>
            <w:tcMar>
              <w:top w:w="80" w:type="dxa"/>
              <w:start w:w="120" w:type="dxa"/>
              <w:bottom w:w="80" w:type="dxa"/>
              <w:end w:w="120" w:type="dxa"/>
            </w:tcMar>
            <w:vAlign w:val="center"/>
          </w:tcPr>
          <w:p>
            <w:pPr>
              <w:spacing w:after="20"/>
            </w:pPr>
            <w:r>
              <w:rPr>
                <w:sz w:val="18"/>
              </w:rPr>
              <w:t>2 weeks</w:t>
            </w:r>
          </w:p>
        </w:tc>
        <w:tc>
          <w:tcPr>
            <w:tcW w:type="dxa" w:w="3360"/>
            <w:tcMar>
              <w:top w:w="80" w:type="dxa"/>
              <w:start w:w="120" w:type="dxa"/>
              <w:bottom w:w="80" w:type="dxa"/>
              <w:end w:w="120" w:type="dxa"/>
            </w:tcMar>
            <w:vAlign w:val="center"/>
          </w:tcPr>
          <w:p>
            <w:pPr>
              <w:spacing w:after="20"/>
            </w:pPr>
            <w:r>
              <w:rPr>
                <w:sz w:val="18"/>
              </w:rPr>
              <w:t>Primarily researcher time</w:t>
            </w:r>
          </w:p>
        </w:tc>
        <w:tc>
          <w:tcPr>
            <w:tcW w:type="dxa" w:w="2000"/>
            <w:tcMar>
              <w:top w:w="80" w:type="dxa"/>
              <w:start w:w="120" w:type="dxa"/>
              <w:bottom w:w="80" w:type="dxa"/>
              <w:end w:w="120" w:type="dxa"/>
            </w:tcMar>
            <w:vAlign w:val="center"/>
          </w:tcPr>
          <w:p>
            <w:pPr>
              <w:spacing w:after="20"/>
            </w:pPr>
            <w:r>
              <w:rPr>
                <w:sz w:val="18"/>
              </w:rPr>
              <w:t>Approve or redesign optical architecture</w:t>
            </w:r>
          </w:p>
        </w:tc>
      </w:tr>
      <w:tr>
        <w:tc>
          <w:tcPr>
            <w:tcW w:type="dxa" w:w="2700"/>
            <w:tcMar>
              <w:top w:w="80" w:type="dxa"/>
              <w:start w:w="120" w:type="dxa"/>
              <w:bottom w:w="80" w:type="dxa"/>
              <w:end w:w="120" w:type="dxa"/>
            </w:tcMar>
            <w:vAlign w:val="center"/>
          </w:tcPr>
          <w:p>
            <w:pPr>
              <w:spacing w:after="20"/>
            </w:pPr>
            <w:r>
              <w:rPr>
                <w:sz w:val="18"/>
              </w:rPr>
              <w:t>1: Four levels</w:t>
            </w:r>
          </w:p>
        </w:tc>
        <w:tc>
          <w:tcPr>
            <w:tcW w:type="dxa" w:w="1300"/>
            <w:tcMar>
              <w:top w:w="80" w:type="dxa"/>
              <w:start w:w="120" w:type="dxa"/>
              <w:bottom w:w="80" w:type="dxa"/>
              <w:end w:w="120" w:type="dxa"/>
            </w:tcMar>
            <w:vAlign w:val="center"/>
          </w:tcPr>
          <w:p>
            <w:pPr>
              <w:spacing w:after="20"/>
            </w:pPr>
            <w:r>
              <w:rPr>
                <w:sz w:val="18"/>
              </w:rPr>
              <w:t>4–6 weeks</w:t>
            </w:r>
          </w:p>
        </w:tc>
        <w:tc>
          <w:tcPr>
            <w:tcW w:type="dxa" w:w="3360"/>
            <w:tcMar>
              <w:top w:w="80" w:type="dxa"/>
              <w:start w:w="120" w:type="dxa"/>
              <w:bottom w:w="80" w:type="dxa"/>
              <w:end w:w="120" w:type="dxa"/>
            </w:tcMar>
            <w:vAlign w:val="center"/>
          </w:tcPr>
          <w:p>
            <w:pPr>
              <w:spacing w:after="20"/>
            </w:pPr>
            <w:r>
              <w:rPr>
                <w:sz w:val="18"/>
              </w:rPr>
              <w:t>DKK 6,700 materials; DKK 50k–120k total if fully costed</w:t>
            </w:r>
          </w:p>
        </w:tc>
        <w:tc>
          <w:tcPr>
            <w:tcW w:type="dxa" w:w="2000"/>
            <w:tcMar>
              <w:top w:w="80" w:type="dxa"/>
              <w:start w:w="120" w:type="dxa"/>
              <w:bottom w:w="80" w:type="dxa"/>
              <w:end w:w="120" w:type="dxa"/>
            </w:tcMar>
            <w:vAlign w:val="center"/>
          </w:tcPr>
          <w:p>
            <w:pPr>
              <w:spacing w:after="20"/>
            </w:pPr>
            <w:r>
              <w:rPr>
                <w:sz w:val="18"/>
              </w:rPr>
              <w:t>Demonstrated level separation</w:t>
            </w:r>
          </w:p>
        </w:tc>
      </w:tr>
      <w:tr>
        <w:tc>
          <w:tcPr>
            <w:tcW w:type="dxa" w:w="2700"/>
            <w:tcMar>
              <w:top w:w="80" w:type="dxa"/>
              <w:start w:w="120" w:type="dxa"/>
              <w:bottom w:w="80" w:type="dxa"/>
              <w:end w:w="120" w:type="dxa"/>
            </w:tcMar>
            <w:vAlign w:val="center"/>
          </w:tcPr>
          <w:p>
            <w:pPr>
              <w:spacing w:after="20"/>
            </w:pPr>
            <w:r>
              <w:rPr>
                <w:sz w:val="18"/>
              </w:rPr>
              <w:t>2: Five channels + ECC</w:t>
            </w:r>
          </w:p>
        </w:tc>
        <w:tc>
          <w:tcPr>
            <w:tcW w:type="dxa" w:w="1300"/>
            <w:tcMar>
              <w:top w:w="80" w:type="dxa"/>
              <w:start w:w="120" w:type="dxa"/>
              <w:bottom w:w="80" w:type="dxa"/>
              <w:end w:w="120" w:type="dxa"/>
            </w:tcMar>
            <w:vAlign w:val="center"/>
          </w:tcPr>
          <w:p>
            <w:pPr>
              <w:spacing w:after="20"/>
            </w:pPr>
            <w:r>
              <w:rPr>
                <w:sz w:val="18"/>
              </w:rPr>
              <w:t>4–6 weeks</w:t>
            </w:r>
          </w:p>
        </w:tc>
        <w:tc>
          <w:tcPr>
            <w:tcW w:type="dxa" w:w="3360"/>
            <w:tcMar>
              <w:top w:w="80" w:type="dxa"/>
              <w:start w:w="120" w:type="dxa"/>
              <w:bottom w:w="80" w:type="dxa"/>
              <w:end w:w="120" w:type="dxa"/>
            </w:tcMar>
            <w:vAlign w:val="center"/>
          </w:tcPr>
          <w:p>
            <w:pPr>
              <w:spacing w:after="20"/>
            </w:pPr>
            <w:r>
              <w:rPr>
                <w:sz w:val="18"/>
              </w:rPr>
              <w:t>Indicatively DKK 150k–400k</w:t>
            </w:r>
          </w:p>
        </w:tc>
        <w:tc>
          <w:tcPr>
            <w:tcW w:type="dxa" w:w="2000"/>
            <w:tcMar>
              <w:top w:w="80" w:type="dxa"/>
              <w:start w:w="120" w:type="dxa"/>
              <w:bottom w:w="80" w:type="dxa"/>
              <w:end w:w="120" w:type="dxa"/>
            </w:tcMar>
            <w:vAlign w:val="center"/>
          </w:tcPr>
          <w:p>
            <w:pPr>
              <w:spacing w:after="20"/>
            </w:pPr>
            <w:r>
              <w:rPr>
                <w:sz w:val="18"/>
              </w:rPr>
              <w:t>Independent feasibility result</w:t>
            </w:r>
          </w:p>
        </w:tc>
      </w:tr>
      <w:tr>
        <w:tc>
          <w:tcPr>
            <w:tcW w:type="dxa" w:w="2700"/>
            <w:tcMar>
              <w:top w:w="80" w:type="dxa"/>
              <w:start w:w="120" w:type="dxa"/>
              <w:bottom w:w="80" w:type="dxa"/>
              <w:end w:w="120" w:type="dxa"/>
            </w:tcMar>
            <w:vAlign w:val="center"/>
          </w:tcPr>
          <w:p>
            <w:pPr>
              <w:spacing w:after="20"/>
            </w:pPr>
            <w:r>
              <w:rPr>
                <w:sz w:val="18"/>
              </w:rPr>
              <w:t>3: Ultrafast glass inscription</w:t>
            </w:r>
          </w:p>
        </w:tc>
        <w:tc>
          <w:tcPr>
            <w:tcW w:type="dxa" w:w="1300"/>
            <w:tcMar>
              <w:top w:w="80" w:type="dxa"/>
              <w:start w:w="120" w:type="dxa"/>
              <w:bottom w:w="80" w:type="dxa"/>
              <w:end w:w="120" w:type="dxa"/>
            </w:tcMar>
            <w:vAlign w:val="center"/>
          </w:tcPr>
          <w:p>
            <w:pPr>
              <w:spacing w:after="20"/>
            </w:pPr>
            <w:r>
              <w:rPr>
                <w:sz w:val="18"/>
              </w:rPr>
              <w:t>6–12 months</w:t>
            </w:r>
          </w:p>
        </w:tc>
        <w:tc>
          <w:tcPr>
            <w:tcW w:type="dxa" w:w="3360"/>
            <w:tcMar>
              <w:top w:w="80" w:type="dxa"/>
              <w:start w:w="120" w:type="dxa"/>
              <w:bottom w:w="80" w:type="dxa"/>
              <w:end w:w="120" w:type="dxa"/>
            </w:tcMar>
            <w:vAlign w:val="center"/>
          </w:tcPr>
          <w:p>
            <w:pPr>
              <w:spacing w:after="20"/>
            </w:pPr>
            <w:r>
              <w:rPr>
                <w:sz w:val="18"/>
              </w:rPr>
              <w:t>Indicatively DKK 0.8m–2.5m</w:t>
            </w:r>
          </w:p>
        </w:tc>
        <w:tc>
          <w:tcPr>
            <w:tcW w:type="dxa" w:w="2000"/>
            <w:tcMar>
              <w:top w:w="80" w:type="dxa"/>
              <w:start w:w="120" w:type="dxa"/>
              <w:bottom w:w="80" w:type="dxa"/>
              <w:end w:w="120" w:type="dxa"/>
            </w:tcMar>
            <w:vAlign w:val="center"/>
          </w:tcPr>
          <w:p>
            <w:pPr>
              <w:spacing w:after="20"/>
            </w:pPr>
            <w:r>
              <w:rPr>
                <w:sz w:val="18"/>
              </w:rPr>
              <w:t>Permanent medium and scaling evidence</w:t>
            </w:r>
          </w:p>
        </w:tc>
      </w:tr>
    </w:tbl>
    <w:p>
      <w:pPr>
        <w:spacing w:after="0"/>
      </w:pPr>
    </w:p>
    <w:p>
      <w:r>
        <w:t>Budget ranges are planning estimates, not supplier quotations. The partner should replace them with facility-specific staff, instrument and overhead rates. No commercial energy-savings claim is part of the requested university work.</w:t>
      </w:r>
    </w:p>
    <w:p>
      <w:pPr>
        <w:pStyle w:val="Heading1"/>
      </w:pPr>
      <w:r>
        <w:t>8. Suggested academic partners</w:t>
      </w:r>
    </w:p>
    <w:tbl>
      <w:tblPr>
        <w:tblStyle w:val="TableGrid"/>
        <w:tblW w:type="dxa" w:w="9360"/>
        <w:jc w:val="left"/>
        <w:tblLayout w:type="fixed"/>
        <w:tblLook w:firstColumn="1" w:firstRow="1" w:lastColumn="0" w:lastRow="0" w:noHBand="0" w:noVBand="1" w:val="04A0"/>
        <w:tblInd w:w="120" w:type="dxa"/>
      </w:tblPr>
      <w:tblGrid>
        <w:gridCol w:w="2500"/>
        <w:gridCol w:w="4360"/>
        <w:gridCol w:w="2500"/>
      </w:tblGrid>
      <w:tr>
        <w:tc>
          <w:tcPr>
            <w:tcW w:type="dxa" w:w="2500"/>
            <w:tcMar>
              <w:top w:w="80" w:type="dxa"/>
              <w:start w:w="120" w:type="dxa"/>
              <w:bottom w:w="80" w:type="dxa"/>
              <w:end w:w="120" w:type="dxa"/>
            </w:tcMar>
            <w:vAlign w:val="center"/>
            <w:shd w:fill="E8EEF5"/>
          </w:tcPr>
          <w:p>
            <w:r>
              <w:rPr>
                <w:b/>
                <w:color w:val="1F4E79"/>
                <w:sz w:val="19"/>
              </w:rPr>
              <w:t>Institution</w:t>
            </w:r>
          </w:p>
        </w:tc>
        <w:tc>
          <w:tcPr>
            <w:tcW w:type="dxa" w:w="4360"/>
            <w:tcMar>
              <w:top w:w="80" w:type="dxa"/>
              <w:start w:w="120" w:type="dxa"/>
              <w:bottom w:w="80" w:type="dxa"/>
              <w:end w:w="120" w:type="dxa"/>
            </w:tcMar>
            <w:vAlign w:val="center"/>
            <w:shd w:fill="E8EEF5"/>
          </w:tcPr>
          <w:p>
            <w:r>
              <w:rPr>
                <w:b/>
                <w:color w:val="1F4E79"/>
                <w:sz w:val="19"/>
              </w:rPr>
              <w:t>Why it is relevant</w:t>
            </w:r>
          </w:p>
        </w:tc>
        <w:tc>
          <w:tcPr>
            <w:tcW w:type="dxa" w:w="2500"/>
            <w:tcMar>
              <w:top w:w="80" w:type="dxa"/>
              <w:start w:w="120" w:type="dxa"/>
              <w:bottom w:w="80" w:type="dxa"/>
              <w:end w:w="120" w:type="dxa"/>
            </w:tcMar>
            <w:vAlign w:val="center"/>
            <w:shd w:fill="E8EEF5"/>
          </w:tcPr>
          <w:p>
            <w:r>
              <w:rPr>
                <w:b/>
                <w:color w:val="1F4E79"/>
                <w:sz w:val="19"/>
              </w:rPr>
              <w:t>Suggested first request</w:t>
            </w:r>
          </w:p>
        </w:tc>
      </w:tr>
      <w:tr>
        <w:tc>
          <w:tcPr>
            <w:tcW w:type="dxa" w:w="2500"/>
            <w:tcMar>
              <w:top w:w="80" w:type="dxa"/>
              <w:start w:w="120" w:type="dxa"/>
              <w:bottom w:w="80" w:type="dxa"/>
              <w:end w:w="120" w:type="dxa"/>
            </w:tcMar>
            <w:vAlign w:val="center"/>
          </w:tcPr>
          <w:p>
            <w:pPr>
              <w:spacing w:after="20"/>
            </w:pPr>
            <w:r>
              <w:rPr>
                <w:sz w:val="18"/>
              </w:rPr>
              <w:t>DTU Electro — Department of Electrical and Photonics Engineering</w:t>
            </w:r>
          </w:p>
        </w:tc>
        <w:tc>
          <w:tcPr>
            <w:tcW w:type="dxa" w:w="4360"/>
            <w:tcMar>
              <w:top w:w="80" w:type="dxa"/>
              <w:start w:w="120" w:type="dxa"/>
              <w:bottom w:w="80" w:type="dxa"/>
              <w:end w:w="120" w:type="dxa"/>
            </w:tcMar>
            <w:vAlign w:val="center"/>
          </w:tcPr>
          <w:p>
            <w:pPr>
              <w:spacing w:after="20"/>
            </w:pPr>
            <w:r>
              <w:rPr>
                <w:sz w:val="18"/>
              </w:rPr>
              <w:t>Photonics engineering, industrial collaboration and documented work involving femtosecond laser inscription.</w:t>
            </w:r>
          </w:p>
        </w:tc>
        <w:tc>
          <w:tcPr>
            <w:tcW w:type="dxa" w:w="2500"/>
            <w:tcMar>
              <w:top w:w="80" w:type="dxa"/>
              <w:start w:w="120" w:type="dxa"/>
              <w:bottom w:w="80" w:type="dxa"/>
              <w:end w:w="120" w:type="dxa"/>
            </w:tcMar>
            <w:vAlign w:val="center"/>
          </w:tcPr>
          <w:p>
            <w:pPr>
              <w:spacing w:after="20"/>
            </w:pPr>
            <w:r>
              <w:rPr>
                <w:sz w:val="18"/>
              </w:rPr>
              <w:t>Independent Phase 0 audit and access assessment for Phases 1–3.</w:t>
            </w:r>
          </w:p>
        </w:tc>
      </w:tr>
      <w:tr>
        <w:tc>
          <w:tcPr>
            <w:tcW w:type="dxa" w:w="2500"/>
            <w:tcMar>
              <w:top w:w="80" w:type="dxa"/>
              <w:start w:w="120" w:type="dxa"/>
              <w:bottom w:w="80" w:type="dxa"/>
              <w:end w:w="120" w:type="dxa"/>
            </w:tcMar>
            <w:vAlign w:val="center"/>
          </w:tcPr>
          <w:p>
            <w:pPr>
              <w:spacing w:after="20"/>
            </w:pPr>
            <w:r>
              <w:rPr>
                <w:sz w:val="18"/>
              </w:rPr>
              <w:t>University of Rochester — Institute of Optics</w:t>
            </w:r>
          </w:p>
        </w:tc>
        <w:tc>
          <w:tcPr>
            <w:tcW w:type="dxa" w:w="4360"/>
            <w:tcMar>
              <w:top w:w="80" w:type="dxa"/>
              <w:start w:w="120" w:type="dxa"/>
              <w:bottom w:w="80" w:type="dxa"/>
              <w:end w:w="120" w:type="dxa"/>
            </w:tcMar>
            <w:vAlign w:val="center"/>
          </w:tcPr>
          <w:p>
            <w:pPr>
              <w:spacing w:after="20"/>
            </w:pPr>
            <w:r>
              <w:rPr>
                <w:sz w:val="18"/>
              </w:rPr>
              <w:t>Established optics programme with published femtosecond-laser processing and micromachining activity.</w:t>
            </w:r>
          </w:p>
        </w:tc>
        <w:tc>
          <w:tcPr>
            <w:tcW w:type="dxa" w:w="2500"/>
            <w:tcMar>
              <w:top w:w="80" w:type="dxa"/>
              <w:start w:w="120" w:type="dxa"/>
              <w:bottom w:w="80" w:type="dxa"/>
              <w:end w:w="120" w:type="dxa"/>
            </w:tcMar>
            <w:vAlign w:val="center"/>
          </w:tcPr>
          <w:p>
            <w:pPr>
              <w:spacing w:after="20"/>
            </w:pPr>
            <w:r>
              <w:rPr>
                <w:sz w:val="18"/>
              </w:rPr>
              <w:t>Materials-processing feasibility review and permanent-inscription pathway.</w:t>
            </w:r>
          </w:p>
        </w:tc>
      </w:tr>
      <w:tr>
        <w:tc>
          <w:tcPr>
            <w:tcW w:type="dxa" w:w="2500"/>
            <w:tcMar>
              <w:top w:w="80" w:type="dxa"/>
              <w:start w:w="120" w:type="dxa"/>
              <w:bottom w:w="80" w:type="dxa"/>
              <w:end w:w="120" w:type="dxa"/>
            </w:tcMar>
            <w:vAlign w:val="center"/>
          </w:tcPr>
          <w:p>
            <w:pPr>
              <w:spacing w:after="20"/>
            </w:pPr>
            <w:r>
              <w:rPr>
                <w:sz w:val="18"/>
              </w:rPr>
              <w:t>University of Arizona — Wyant College of Optical Sciences</w:t>
            </w:r>
          </w:p>
        </w:tc>
        <w:tc>
          <w:tcPr>
            <w:tcW w:type="dxa" w:w="4360"/>
            <w:tcMar>
              <w:top w:w="80" w:type="dxa"/>
              <w:start w:w="120" w:type="dxa"/>
              <w:bottom w:w="80" w:type="dxa"/>
              <w:end w:w="120" w:type="dxa"/>
            </w:tcMar>
            <w:vAlign w:val="center"/>
          </w:tcPr>
          <w:p>
            <w:pPr>
              <w:spacing w:after="20"/>
            </w:pPr>
            <w:r>
              <w:rPr>
                <w:sz w:val="18"/>
              </w:rPr>
              <w:t>Laser and optical-sciences laboratories with published femtosecond modification of materials.</w:t>
            </w:r>
          </w:p>
        </w:tc>
        <w:tc>
          <w:tcPr>
            <w:tcW w:type="dxa" w:w="2500"/>
            <w:tcMar>
              <w:top w:w="80" w:type="dxa"/>
              <w:start w:w="120" w:type="dxa"/>
              <w:bottom w:w="80" w:type="dxa"/>
              <w:end w:w="120" w:type="dxa"/>
            </w:tcMar>
            <w:vAlign w:val="center"/>
          </w:tcPr>
          <w:p>
            <w:pPr>
              <w:spacing w:after="20"/>
            </w:pPr>
            <w:r>
              <w:rPr>
                <w:sz w:val="18"/>
              </w:rPr>
              <w:t>Five-channel optical architecture and crosstalk measurement review.</w:t>
            </w:r>
          </w:p>
        </w:tc>
      </w:tr>
    </w:tbl>
    <w:p>
      <w:pPr>
        <w:spacing w:after="0"/>
      </w:pPr>
    </w:p>
    <w:p>
      <w:pPr>
        <w:pStyle w:val="Heading1"/>
      </w:pPr>
      <w:r>
        <w:t>9. Collaboration model</w:t>
      </w:r>
    </w:p>
    <w:p>
      <w:r>
        <w:t>A suitable first engagement is a small sponsored research project, student thesis, innovation project or paid laboratory feasibility study. The parties should agree in writing on safety, background intellectual property, publication review, ownership of newly developed hardware, and whether all resulting code and datasets can be released openly.</w:t>
      </w:r>
    </w:p>
    <w:p>
      <w:r>
        <w:t>PRISME is presented as an open-source concept seeking falsifiable testing. A negative or redesign result is valuable: the purpose of the university collaboration is to determine what works, not to confirm predetermined density or savings claims.</w:t>
      </w:r>
    </w:p>
    <w:p>
      <w:pPr>
        <w:pStyle w:val="Heading1"/>
      </w:pPr>
      <w:r>
        <w:t>10. Requested next step</w:t>
      </w:r>
    </w:p>
    <w:p>
      <w:r>
        <w:t>We request a 30-minute technical screening meeting with a photonics or laser-materials researcher. Before the meeting, the laboratory receives Hardware Plan v2.0, the repository and the demonstration. The desired meeting outcome is a named technical contact, confirmation of suitable equipment, and a quotation or academic project route for Phase 0.</w:t>
      </w:r>
    </w:p>
    <w:p>
      <w:r>
        <w:rPr>
          <w:rFonts w:ascii="Calibri" w:hAnsi="Calibri"/>
          <w:b/>
          <w:sz w:val="22"/>
        </w:rPr>
        <w:t xml:space="preserve">Repository: </w:t>
      </w:r>
      <w:hyperlink r:id="rId11">
        <w:r>
          <w:rPr>
            <w:color w:val="0563C1"/>
            <w:u w:val="single"/>
          </w:rPr>
          <w:t>github.com/Janus5G/PRISME</w:t>
        </w:r>
      </w:hyperlink>
    </w:p>
    <w:p>
      <w:r>
        <w:rPr>
          <w:rFonts w:ascii="Calibri" w:hAnsi="Calibri"/>
          <w:b/>
          <w:sz w:val="22"/>
        </w:rPr>
        <w:t xml:space="preserve">Interactive demonstration: </w:t>
      </w:r>
      <w:hyperlink r:id="rId12">
        <w:r>
          <w:rPr>
            <w:color w:val="0563C1"/>
            <w:u w:val="single"/>
          </w:rPr>
          <w:t>janus5g.github.io/PRISME/demo/prisme.html</w:t>
        </w:r>
      </w:hyperlink>
    </w:p>
    <w:p>
      <w:pPr>
        <w:pStyle w:val="Heading1"/>
      </w:pPr>
      <w:r>
        <w:t>Sources used to identify potential partners</w:t>
      </w:r>
    </w:p>
    <w:p>
      <w:pPr>
        <w:pStyle w:val="ListBullet"/>
      </w:pPr>
      <w:hyperlink r:id="rId13">
        <w:r>
          <w:rPr>
            <w:color w:val="0563C1"/>
            <w:u w:val="single"/>
          </w:rPr>
          <w:t>DTU Electro — department and collaboration overview</w:t>
        </w:r>
      </w:hyperlink>
    </w:p>
    <w:p>
      <w:pPr>
        <w:pStyle w:val="ListBullet"/>
      </w:pPr>
      <w:hyperlink r:id="rId14">
        <w:r>
          <w:rPr>
            <w:color w:val="0563C1"/>
            <w:u w:val="single"/>
          </w:rPr>
          <w:t>DTU research record — femtosecond laser inscription</w:t>
        </w:r>
      </w:hyperlink>
    </w:p>
    <w:p>
      <w:pPr>
        <w:pStyle w:val="ListBullet"/>
      </w:pPr>
      <w:hyperlink r:id="rId15">
        <w:r>
          <w:rPr>
            <w:color w:val="0563C1"/>
            <w:u w:val="single"/>
          </w:rPr>
          <w:t>University of Rochester — femtosecond laser processing activity</w:t>
        </w:r>
      </w:hyperlink>
    </w:p>
    <w:p>
      <w:pPr>
        <w:pStyle w:val="ListBullet"/>
      </w:pPr>
      <w:hyperlink r:id="rId16">
        <w:r>
          <w:rPr>
            <w:color w:val="0563C1"/>
            <w:u w:val="single"/>
          </w:rPr>
          <w:t>University of Arizona — femtosecond modification of materials</w:t>
        </w:r>
      </w:hyperlink>
    </w:p>
    <w:p/>
    <w:p>
      <w:pPr>
        <w:jc w:val="center"/>
      </w:pPr>
      <w:r>
        <w:rPr>
          <w:rFonts w:ascii="Calibri" w:hAnsi="Calibri"/>
          <w:b w:val="0"/>
          <w:i/>
          <w:color w:val="5B6573"/>
          <w:sz w:val="18"/>
        </w:rPr>
        <w:t>Prepared from PRISME Hardware Plan v2.0 • July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573"/>
        <w:sz w:val="18"/>
      </w:rPr>
      <w:t>Open research proposal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B6573"/>
        <w:sz w:val="18"/>
      </w:rPr>
      <w:t>PRISME | Independent university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color w:val="1F2D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Janus5G/PRISME" TargetMode="External"/><Relationship Id="rId12" Type="http://schemas.openxmlformats.org/officeDocument/2006/relationships/hyperlink" Target="https://janus5g.github.io/PRISME/demo/prisme.html" TargetMode="External"/><Relationship Id="rId13" Type="http://schemas.openxmlformats.org/officeDocument/2006/relationships/hyperlink" Target="https://electro.dtu.dk/" TargetMode="External"/><Relationship Id="rId14" Type="http://schemas.openxmlformats.org/officeDocument/2006/relationships/hyperlink" Target="https://orbit.dtu.dk/files/417139396/135222Q.pdf" TargetMode="External"/><Relationship Id="rId15" Type="http://schemas.openxmlformats.org/officeDocument/2006/relationships/hyperlink" Target="https://urresearch.rochester.edu/fileDownloadForInstitutionalItem.action?itemFileId=194796&amp;itemId=39063" TargetMode="External"/><Relationship Id="rId16" Type="http://schemas.openxmlformats.org/officeDocument/2006/relationships/hyperlink" Target="https://optics.arizona.edu/news/another-wavelength-alex-erst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