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charts/chart5.xml" ContentType="application/vnd.openxmlformats-officedocument.drawingml.chart+xml"/>
  <Override PartName="/word/charts/chart4.xml" ContentType="application/vnd.openxmlformats-officedocument.drawingml.chart+xml"/>
  <Override PartName="/word/charts/chart3.xml" ContentType="application/vnd.openxmlformats-officedocument.drawingml.chart+xml"/>
  <Override PartName="/word/charts/chart2.xml" ContentType="application/vnd.openxmlformats-officedocument.drawingml.chart+xml"/>
  <Override PartName="/word/charts/chart1.xml" ContentType="application/vnd.openxmlformats-officedocument.drawingml.chart+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sz w:val="22"/>
          <w:szCs w:val="22"/>
        </w:rPr>
      </w:pPr>
      <w:r>
        <w:rPr>
          <w:sz w:val="22"/>
          <w:szCs w:val="22"/>
        </w:rPr>
        <w:t>Emilia Mioduszewska</w:t>
        <w:br/>
        <w:t>Piotr Węglewski</w:t>
      </w:r>
    </w:p>
    <w:p>
      <w:pPr>
        <w:pStyle w:val="Normal"/>
        <w:jc w:val="center"/>
        <w:rPr>
          <w:b/>
          <w:bCs/>
          <w:sz w:val="26"/>
          <w:szCs w:val="26"/>
        </w:rPr>
      </w:pPr>
      <w:r>
        <w:rPr>
          <w:b/>
          <w:bCs/>
          <w:sz w:val="26"/>
          <w:szCs w:val="26"/>
        </w:rPr>
        <w:t>Task 1</w:t>
      </w:r>
    </w:p>
    <w:p>
      <w:pPr>
        <w:pStyle w:val="Normal"/>
        <w:jc w:val="center"/>
        <w:rPr/>
      </w:pPr>
      <w:r>
        <w:rPr/>
        <w:t>Computational complexity estimation and algorithm profiling</w:t>
      </w:r>
    </w:p>
    <w:p>
      <w:pPr>
        <w:pStyle w:val="Normal"/>
        <w:numPr>
          <w:ilvl w:val="0"/>
          <w:numId w:val="1"/>
        </w:numPr>
        <w:rPr/>
      </w:pPr>
      <w:r>
        <w:rPr/>
        <w:t>Experimental Procedure and expected results.</w:t>
      </w:r>
    </w:p>
    <w:p>
      <w:pPr>
        <w:pStyle w:val="Normal"/>
        <w:rPr/>
      </w:pPr>
      <w:r>
        <w:rPr/>
        <w:t xml:space="preserve">We decided to implement a quick sort algorithm in </w:t>
      </w:r>
      <w:r>
        <w:rPr/>
        <w:t>Java</w:t>
      </w:r>
      <w:r>
        <w:rPr/>
        <w:t xml:space="preserve"> language. Profiling is based on time of function execution with 1ms accuracy. In our procedure we sort the array of integers. There are 3 </w:t>
      </w:r>
      <w:r>
        <w:rPr/>
        <w:t>possibilities</w:t>
      </w:r>
      <w:r>
        <w:rPr/>
        <w:t xml:space="preserve"> to </w:t>
      </w:r>
      <w:r>
        <w:rPr/>
        <w:t>initialize</w:t>
      </w:r>
      <w:r>
        <w:rPr/>
        <w:t xml:space="preserve"> the </w:t>
      </w:r>
      <w:r>
        <w:rPr/>
        <w:t>arr</w:t>
      </w:r>
      <w:r>
        <w:rPr/>
        <w:t xml:space="preserve">ay: </w:t>
      </w:r>
      <w:r>
        <w:rPr/>
        <w:t>random numbers, numbers ordered ascending and numbers ordered descending. The array of the same size is sorted 10-times and a median of all times is calculated to avoid the aberration. The size of the array is increased with a resolution until the time needed to sort it exceeds 500ms. The resolution was different for each test, but it was always set to achieve at least 20 measurement for every array size.</w:t>
      </w:r>
    </w:p>
    <w:p>
      <w:pPr>
        <w:pStyle w:val="Normal"/>
        <w:rPr>
          <w:position w:val="0"/>
          <w:sz w:val="24"/>
          <w:vertAlign w:val="baseline"/>
        </w:rPr>
      </w:pPr>
      <w:r>
        <w:rPr/>
        <w:t>The quick sort algorithm is expected to demonstrate the logarithmic complexity in best case scenario and n</w:t>
      </w:r>
      <w:r>
        <w:rPr>
          <w:vertAlign w:val="superscript"/>
        </w:rPr>
        <w:t>2</w:t>
      </w:r>
      <w:r>
        <w:rPr>
          <w:position w:val="0"/>
          <w:sz w:val="24"/>
          <w:vertAlign w:val="baseline"/>
        </w:rPr>
        <w:t xml:space="preserve"> </w:t>
      </w:r>
      <w:r>
        <w:rPr>
          <w:position w:val="0"/>
          <w:sz w:val="24"/>
          <w:vertAlign w:val="baseline"/>
        </w:rPr>
        <w:t>complexity in worst case scenario.</w:t>
      </w:r>
    </w:p>
    <w:p>
      <w:pPr>
        <w:pStyle w:val="Normal"/>
        <w:numPr>
          <w:ilvl w:val="0"/>
          <w:numId w:val="1"/>
        </w:numPr>
        <w:rPr>
          <w:position w:val="0"/>
          <w:sz w:val="24"/>
          <w:vertAlign w:val="baseline"/>
        </w:rPr>
      </w:pPr>
      <w:r>
        <w:rPr>
          <w:position w:val="0"/>
          <w:sz w:val="24"/>
          <w:vertAlign w:val="baseline"/>
        </w:rPr>
        <w:t>Experiment results.</w:t>
      </w:r>
    </w:p>
    <w:p>
      <w:pPr>
        <w:pStyle w:val="Normal"/>
        <w:rPr/>
      </w:pPr>
      <w:r>
        <w:rPr/>
        <w:t>Middle element as dividing one.</w:t>
      </w:r>
    </w:p>
    <w:p>
      <w:pPr>
        <w:pStyle w:val="Normal"/>
        <w:rPr/>
      </w:pPr>
      <w:r>
        <w:rPr/>
        <w:drawing>
          <wp:inline distT="0" distB="0" distL="0" distR="0">
            <wp:extent cx="6116320" cy="3849370"/>
            <wp:effectExtent l="0" t="0" r="0" b="0"/>
            <wp:docPr id="1" name="Obj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2"/>
              </a:graphicData>
            </a:graphic>
          </wp:inline>
        </w:drawing>
      </w:r>
    </w:p>
    <w:p>
      <w:pPr>
        <w:pStyle w:val="Normal"/>
        <w:pageBreakBefore/>
        <w:rPr/>
      </w:pPr>
      <w:r>
        <w:rPr/>
        <w:t>First element as dividing one.</w:t>
      </w:r>
    </w:p>
    <w:p>
      <w:pPr>
        <w:pStyle w:val="Normal"/>
        <w:rPr/>
      </w:pPr>
      <w:r>
        <w:rPr/>
        <w:drawing>
          <wp:inline distT="0" distB="0" distL="0" distR="0">
            <wp:extent cx="6084570" cy="3662045"/>
            <wp:effectExtent l="0" t="0" r="0" b="0"/>
            <wp:docPr id="2" name="Object2"/>
            <wp:cNvGraphicFramePr/>
            <a:graphic xmlns:a="http://schemas.openxmlformats.org/drawingml/2006/main">
              <a:graphicData uri="http://schemas.openxmlformats.org/drawingml/2006/chart">
                <c:chart xmlns:c="http://schemas.openxmlformats.org/drawingml/2006/chart" xmlns:r="http://schemas.openxmlformats.org/officeDocument/2006/relationships" r:id="rId3"/>
              </a:graphicData>
            </a:graphic>
          </wp:inline>
        </w:drawing>
      </w:r>
    </w:p>
    <w:p>
      <w:pPr>
        <w:pStyle w:val="Normal"/>
        <w:rPr/>
      </w:pPr>
      <w:r>
        <w:rPr/>
        <w:drawing>
          <wp:inline distT="0" distB="0" distL="0" distR="0">
            <wp:extent cx="6080125" cy="3662045"/>
            <wp:effectExtent l="0" t="0" r="0" b="0"/>
            <wp:docPr id="3" name="Object3"/>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pPr>
        <w:pStyle w:val="Normal"/>
        <w:pageBreakBefore/>
        <w:rPr/>
      </w:pPr>
      <w:r>
        <w:rPr/>
        <w:t>Last element as dividing one.</w:t>
      </w:r>
    </w:p>
    <w:p>
      <w:pPr>
        <w:pStyle w:val="Normal"/>
        <w:rPr/>
      </w:pPr>
      <w:r>
        <w:rPr/>
        <w:drawing>
          <wp:inline distT="0" distB="0" distL="0" distR="0">
            <wp:extent cx="6084570" cy="4555490"/>
            <wp:effectExtent l="0" t="0" r="0" b="0"/>
            <wp:docPr id="4" name="Object5"/>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pPr>
        <w:pStyle w:val="Normal"/>
        <w:rPr/>
      </w:pPr>
      <w:r>
        <w:rPr/>
        <w:drawing>
          <wp:inline distT="0" distB="0" distL="0" distR="0">
            <wp:extent cx="6091555" cy="3994150"/>
            <wp:effectExtent l="0" t="0" r="0" b="0"/>
            <wp:docPr id="5" name="Object6"/>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pPr>
        <w:pStyle w:val="Normal"/>
        <w:numPr>
          <w:ilvl w:val="0"/>
          <w:numId w:val="1"/>
        </w:numPr>
        <w:rPr/>
      </w:pPr>
      <w:r>
        <w:rPr/>
        <w:t>Discussion of achieved results</w:t>
      </w:r>
    </w:p>
    <w:p>
      <w:pPr>
        <w:pStyle w:val="Normal"/>
        <w:spacing w:before="0" w:after="230"/>
        <w:rPr/>
      </w:pPr>
      <w:r>
        <w:rPr/>
        <w:t>Results of our experiments covers the initial expectations. The wort case scenario graph appears to be a part of n</w:t>
      </w:r>
      <w:r>
        <w:rPr>
          <w:vertAlign w:val="superscript"/>
        </w:rPr>
        <w:t>2</w:t>
      </w:r>
      <w:r>
        <w:rPr/>
        <w:t xml:space="preserve"> function and respectively best case scenario graph is similar to part of nlogn function. The worst case scenario did not appear in the case with middle element pivot. All the test cases show the difference in algorithm complexity when elements has to be exchanged (ordered descending) and the already sorted array (ordered ascending). The graphs for random elements has some abbreviations, because of the procedure that generates different random array for every size considered in experiment. Our experiment also shows how huge is the difference in complexity for worst case and best case scenario. This confirms that </w:t>
      </w:r>
      <w:r>
        <w:rPr/>
        <w:t xml:space="preserve">this </w:t>
      </w:r>
      <w:r>
        <w:rPr/>
        <w:t xml:space="preserve">algorithm is very sensitive to incorrect implementation, </w:t>
      </w:r>
      <w:r>
        <w:rPr/>
        <w:t xml:space="preserve">because of the pivot, which position is crucial in case of quick sort. </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kinsoku w:val="true"/>
      <w:overflowPunct w:val="true"/>
      <w:autoSpaceDE w:val="true"/>
      <w:bidi w:val="0"/>
      <w:spacing w:before="0" w:after="230"/>
    </w:pPr>
    <w:rPr>
      <w:rFonts w:ascii="Liberation Serif" w:hAnsi="Liberation Serif" w:eastAsia="Droid Sans Fallback" w:cs="FreeSans"/>
      <w:color w:val="auto"/>
      <w:sz w:val="24"/>
      <w:szCs w:val="24"/>
      <w:lang w:val="en-US" w:eastAsia="zh-CN" w:bidi="hi-IN"/>
    </w:rPr>
  </w:style>
  <w:style w:type="character" w:styleId="NumberingSymbols">
    <w:name w:val="Numbering Symbols"/>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hart" Target="charts/chart1.xml"/><Relationship Id="rId3" Type="http://schemas.openxmlformats.org/officeDocument/2006/relationships/chart" Target="charts/chart2.xml"/><Relationship Id="rId4" Type="http://schemas.openxmlformats.org/officeDocument/2006/relationships/chart" Target="charts/chart3.xml"/><Relationship Id="rId5" Type="http://schemas.openxmlformats.org/officeDocument/2006/relationships/chart" Target="charts/chart4.xml"/><Relationship Id="rId6" Type="http://schemas.openxmlformats.org/officeDocument/2006/relationships/chart" Target="charts/chart5.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word/charts/chart1.xml><?xml version="1.0" encoding="utf-8"?>
<c:chartSpace xmlns:c="http://schemas.openxmlformats.org/drawingml/2006/chart" xmlns:a="http://schemas.openxmlformats.org/drawingml/2006/main" xmlns:r="http://schemas.openxmlformats.org/officeDocument/2006/relationships">
  <c:lang val="en-US"/>
  <c:chart>
    <c:title>
      <c:tx>
        <c:rich>
          <a:bodyPr/>
          <a:lstStyle/>
          <a:p>
            <a:pPr>
              <a:defRPr/>
            </a:pPr>
            <a:r>
              <a:rPr sz="1300">
                <a:latin typeface="Arial"/>
              </a:rPr>
              <a:t>Pivot: Middle</a:t>
            </a:r>
          </a:p>
        </c:rich>
      </c:tx>
      <c:layout/>
    </c:title>
    <c:plotArea>
      <c:layout/>
      <c:scatterChart>
        <c:scatterStyle val="lineMarker"/>
        <c:varyColors val="0"/>
        <c:ser>
          <c:idx val="0"/>
          <c:order val="0"/>
          <c:tx>
            <c:strRef>
              <c:f>label 1</c:f>
              <c:strCache>
                <c:ptCount val="1"/>
                <c:pt idx="0">
                  <c:v>descending</c:v>
                </c:pt>
              </c:strCache>
            </c:strRef>
          </c:tx>
          <c:spPr>
            <a:solidFill>
              <a:srgbClr val="004586"/>
            </a:solidFill>
            <a:ln w="28800">
              <a:solidFill>
                <a:srgbClr val="004586"/>
              </a:solidFill>
              <a:round/>
            </a:ln>
          </c:spPr>
          <c:marker>
            <c:symbol val="none"/>
          </c:marker>
          <c:cat>
            <c:strRef>
              <c:f>categories</c:f>
              <c:strCache>
                <c:ptCount val="2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
                </c:pt>
                <c:pt idx="19">
                  <c:v/>
                </c:pt>
                <c:pt idx="20">
                  <c:v/>
                </c:pt>
                <c:pt idx="21">
                  <c:v/>
                </c:pt>
                <c:pt idx="22">
                  <c:v/>
                </c:pt>
                <c:pt idx="23">
                  <c:v/>
                </c:pt>
                <c:pt idx="24">
                  <c:v/>
                </c:pt>
              </c:strCache>
            </c:strRef>
          </c:cat>
          <c:xVal>
            <c:numRef>
              <c:f>0</c:f>
              <c:numCache>
                <c:formatCode>General</c:formatCode>
                <c:ptCount val="25"/>
                <c:pt idx="0">
                  <c:v>1000000</c:v>
                </c:pt>
                <c:pt idx="1">
                  <c:v>2000000</c:v>
                </c:pt>
                <c:pt idx="2">
                  <c:v>3000000</c:v>
                </c:pt>
                <c:pt idx="3">
                  <c:v>4000000</c:v>
                </c:pt>
                <c:pt idx="4">
                  <c:v>5000000</c:v>
                </c:pt>
                <c:pt idx="5">
                  <c:v>6000000</c:v>
                </c:pt>
                <c:pt idx="6">
                  <c:v>7000000</c:v>
                </c:pt>
                <c:pt idx="7">
                  <c:v>8000000</c:v>
                </c:pt>
                <c:pt idx="8">
                  <c:v>9000000</c:v>
                </c:pt>
                <c:pt idx="9">
                  <c:v>10000000</c:v>
                </c:pt>
                <c:pt idx="10">
                  <c:v>11000000</c:v>
                </c:pt>
                <c:pt idx="11">
                  <c:v>12000000</c:v>
                </c:pt>
                <c:pt idx="12">
                  <c:v>13000000</c:v>
                </c:pt>
                <c:pt idx="13">
                  <c:v>14000000</c:v>
                </c:pt>
                <c:pt idx="14">
                  <c:v>15000000</c:v>
                </c:pt>
                <c:pt idx="15">
                  <c:v>16000000</c:v>
                </c:pt>
                <c:pt idx="16">
                  <c:v>17000000</c:v>
                </c:pt>
                <c:pt idx="17">
                  <c:v>18000000</c:v>
                </c:pt>
                <c:pt idx="18">
                  <c:v/>
                </c:pt>
                <c:pt idx="19">
                  <c:v/>
                </c:pt>
                <c:pt idx="20">
                  <c:v/>
                </c:pt>
                <c:pt idx="21">
                  <c:v/>
                </c:pt>
                <c:pt idx="22">
                  <c:v/>
                </c:pt>
                <c:pt idx="23">
                  <c:v/>
                </c:pt>
                <c:pt idx="24">
                  <c:v/>
                </c:pt>
              </c:numCache>
            </c:numRef>
          </c:xVal>
          <c:yVal>
            <c:numRef>
              <c:f>1</c:f>
              <c:numCache>
                <c:formatCode>General</c:formatCode>
                <c:ptCount val="25"/>
                <c:pt idx="0">
                  <c:v>33.5</c:v>
                </c:pt>
                <c:pt idx="1">
                  <c:v>64</c:v>
                </c:pt>
                <c:pt idx="2">
                  <c:v>75.5</c:v>
                </c:pt>
                <c:pt idx="3">
                  <c:v>98.5</c:v>
                </c:pt>
                <c:pt idx="4">
                  <c:v>128.5</c:v>
                </c:pt>
                <c:pt idx="5">
                  <c:v>156.5</c:v>
                </c:pt>
                <c:pt idx="6">
                  <c:v>182</c:v>
                </c:pt>
                <c:pt idx="7">
                  <c:v>204</c:v>
                </c:pt>
                <c:pt idx="8">
                  <c:v>236</c:v>
                </c:pt>
                <c:pt idx="9">
                  <c:v>266</c:v>
                </c:pt>
                <c:pt idx="10">
                  <c:v>296</c:v>
                </c:pt>
                <c:pt idx="11">
                  <c:v>328</c:v>
                </c:pt>
                <c:pt idx="12">
                  <c:v>354.5</c:v>
                </c:pt>
                <c:pt idx="13">
                  <c:v>379</c:v>
                </c:pt>
                <c:pt idx="14">
                  <c:v>404</c:v>
                </c:pt>
                <c:pt idx="15">
                  <c:v>451</c:v>
                </c:pt>
                <c:pt idx="16">
                  <c:v>479</c:v>
                </c:pt>
                <c:pt idx="17">
                  <c:v>514</c:v>
                </c:pt>
                <c:pt idx="18">
                  <c:v/>
                </c:pt>
                <c:pt idx="19">
                  <c:v/>
                </c:pt>
                <c:pt idx="20">
                  <c:v/>
                </c:pt>
                <c:pt idx="21">
                  <c:v/>
                </c:pt>
                <c:pt idx="22">
                  <c:v/>
                </c:pt>
                <c:pt idx="23">
                  <c:v/>
                </c:pt>
                <c:pt idx="24">
                  <c:v/>
                </c:pt>
              </c:numCache>
            </c:numRef>
          </c:yVal>
        </c:ser>
        <c:ser>
          <c:idx val="1"/>
          <c:order val="1"/>
          <c:tx>
            <c:strRef>
              <c:f>label 3</c:f>
              <c:strCache>
                <c:ptCount val="1"/>
                <c:pt idx="0">
                  <c:v>random</c:v>
                </c:pt>
              </c:strCache>
            </c:strRef>
          </c:tx>
          <c:spPr>
            <a:solidFill>
              <a:srgbClr val="ff420e"/>
            </a:solidFill>
            <a:ln w="28800">
              <a:solidFill>
                <a:srgbClr val="ff420e"/>
              </a:solidFill>
              <a:round/>
            </a:ln>
          </c:spPr>
          <c:marker>
            <c:symbol val="none"/>
          </c:marker>
          <c:cat>
            <c:strRef>
              <c:f>categories</c:f>
              <c:strCache>
                <c:ptCount val="2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
                </c:pt>
                <c:pt idx="19">
                  <c:v/>
                </c:pt>
                <c:pt idx="20">
                  <c:v/>
                </c:pt>
                <c:pt idx="21">
                  <c:v/>
                </c:pt>
                <c:pt idx="22">
                  <c:v/>
                </c:pt>
                <c:pt idx="23">
                  <c:v/>
                </c:pt>
                <c:pt idx="24">
                  <c:v/>
                </c:pt>
              </c:strCache>
            </c:strRef>
          </c:cat>
          <c:xVal>
            <c:numRef>
              <c:f>2</c:f>
              <c:numCache>
                <c:formatCode>General</c:formatCode>
                <c:ptCount val="25"/>
                <c:pt idx="0">
                  <c:v>1000000</c:v>
                </c:pt>
                <c:pt idx="1">
                  <c:v>2000000</c:v>
                </c:pt>
                <c:pt idx="2">
                  <c:v>3000000</c:v>
                </c:pt>
                <c:pt idx="3">
                  <c:v>4000000</c:v>
                </c:pt>
                <c:pt idx="4">
                  <c:v>5000000</c:v>
                </c:pt>
                <c:pt idx="5">
                  <c:v>6000000</c:v>
                </c:pt>
                <c:pt idx="6">
                  <c:v>7000000</c:v>
                </c:pt>
                <c:pt idx="7">
                  <c:v>8000000</c:v>
                </c:pt>
                <c:pt idx="8">
                  <c:v>9000000</c:v>
                </c:pt>
                <c:pt idx="9">
                  <c:v>10000000</c:v>
                </c:pt>
                <c:pt idx="10">
                  <c:v>11000000</c:v>
                </c:pt>
                <c:pt idx="11">
                  <c:v>12000000</c:v>
                </c:pt>
                <c:pt idx="12">
                  <c:v>13000000</c:v>
                </c:pt>
                <c:pt idx="13">
                  <c:v>14000000</c:v>
                </c:pt>
                <c:pt idx="14">
                  <c:v>15000000</c:v>
                </c:pt>
                <c:pt idx="15">
                  <c:v>16000000</c:v>
                </c:pt>
                <c:pt idx="16">
                  <c:v>17000000</c:v>
                </c:pt>
                <c:pt idx="17">
                  <c:v>18000000</c:v>
                </c:pt>
                <c:pt idx="18">
                  <c:v>19000000</c:v>
                </c:pt>
                <c:pt idx="19">
                  <c:v>20000000</c:v>
                </c:pt>
                <c:pt idx="20">
                  <c:v>21000000</c:v>
                </c:pt>
                <c:pt idx="21">
                  <c:v>22000000</c:v>
                </c:pt>
                <c:pt idx="22">
                  <c:v/>
                </c:pt>
                <c:pt idx="23">
                  <c:v/>
                </c:pt>
                <c:pt idx="24">
                  <c:v/>
                </c:pt>
              </c:numCache>
            </c:numRef>
          </c:xVal>
          <c:yVal>
            <c:numRef>
              <c:f>3</c:f>
              <c:numCache>
                <c:formatCode>General</c:formatCode>
                <c:ptCount val="25"/>
                <c:pt idx="0">
                  <c:v>27.5</c:v>
                </c:pt>
                <c:pt idx="1">
                  <c:v>50</c:v>
                </c:pt>
                <c:pt idx="2">
                  <c:v>60</c:v>
                </c:pt>
                <c:pt idx="3">
                  <c:v>81</c:v>
                </c:pt>
                <c:pt idx="4">
                  <c:v>108.5</c:v>
                </c:pt>
                <c:pt idx="5">
                  <c:v>126</c:v>
                </c:pt>
                <c:pt idx="6">
                  <c:v>147.5</c:v>
                </c:pt>
                <c:pt idx="7">
                  <c:v>164</c:v>
                </c:pt>
                <c:pt idx="8">
                  <c:v>208</c:v>
                </c:pt>
                <c:pt idx="9">
                  <c:v>245.5</c:v>
                </c:pt>
                <c:pt idx="10">
                  <c:v>251.5</c:v>
                </c:pt>
                <c:pt idx="11">
                  <c:v>269</c:v>
                </c:pt>
                <c:pt idx="12">
                  <c:v>294</c:v>
                </c:pt>
                <c:pt idx="13">
                  <c:v>313.5</c:v>
                </c:pt>
                <c:pt idx="14">
                  <c:v>338</c:v>
                </c:pt>
                <c:pt idx="15">
                  <c:v>358</c:v>
                </c:pt>
                <c:pt idx="16">
                  <c:v>427</c:v>
                </c:pt>
                <c:pt idx="17">
                  <c:v>444.5</c:v>
                </c:pt>
                <c:pt idx="18">
                  <c:v>450.5</c:v>
                </c:pt>
                <c:pt idx="19">
                  <c:v>468</c:v>
                </c:pt>
                <c:pt idx="20">
                  <c:v>493.5</c:v>
                </c:pt>
                <c:pt idx="21">
                  <c:v>520</c:v>
                </c:pt>
                <c:pt idx="22">
                  <c:v/>
                </c:pt>
                <c:pt idx="23">
                  <c:v/>
                </c:pt>
                <c:pt idx="24">
                  <c:v/>
                </c:pt>
              </c:numCache>
            </c:numRef>
          </c:yVal>
        </c:ser>
        <c:ser>
          <c:idx val="2"/>
          <c:order val="2"/>
          <c:tx>
            <c:strRef>
              <c:f>label 5</c:f>
              <c:strCache>
                <c:ptCount val="1"/>
                <c:pt idx="0">
                  <c:v>ascending</c:v>
                </c:pt>
              </c:strCache>
            </c:strRef>
          </c:tx>
          <c:spPr>
            <a:solidFill>
              <a:srgbClr val="ffd320"/>
            </a:solidFill>
            <a:ln w="28800">
              <a:solidFill>
                <a:srgbClr val="ffd320"/>
              </a:solidFill>
              <a:round/>
            </a:ln>
          </c:spPr>
          <c:marker>
            <c:symbol val="none"/>
          </c:marker>
          <c:cat>
            <c:strRef>
              <c:f>categories</c:f>
              <c:strCache>
                <c:ptCount val="2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
                </c:pt>
                <c:pt idx="19">
                  <c:v/>
                </c:pt>
                <c:pt idx="20">
                  <c:v/>
                </c:pt>
                <c:pt idx="21">
                  <c:v/>
                </c:pt>
                <c:pt idx="22">
                  <c:v/>
                </c:pt>
                <c:pt idx="23">
                  <c:v/>
                </c:pt>
                <c:pt idx="24">
                  <c:v/>
                </c:pt>
              </c:strCache>
            </c:strRef>
          </c:cat>
          <c:xVal>
            <c:numRef>
              <c:f>4</c:f>
              <c:numCache>
                <c:formatCode>General</c:formatCode>
                <c:ptCount val="25"/>
                <c:pt idx="0">
                  <c:v>1000000</c:v>
                </c:pt>
                <c:pt idx="1">
                  <c:v>2000000</c:v>
                </c:pt>
                <c:pt idx="2">
                  <c:v>3000000</c:v>
                </c:pt>
                <c:pt idx="3">
                  <c:v>4000000</c:v>
                </c:pt>
                <c:pt idx="4">
                  <c:v>5000000</c:v>
                </c:pt>
                <c:pt idx="5">
                  <c:v>6000000</c:v>
                </c:pt>
                <c:pt idx="6">
                  <c:v>7000000</c:v>
                </c:pt>
                <c:pt idx="7">
                  <c:v>8000000</c:v>
                </c:pt>
                <c:pt idx="8">
                  <c:v>9000000</c:v>
                </c:pt>
                <c:pt idx="9">
                  <c:v>10000000</c:v>
                </c:pt>
                <c:pt idx="10">
                  <c:v>11000000</c:v>
                </c:pt>
                <c:pt idx="11">
                  <c:v>12000000</c:v>
                </c:pt>
                <c:pt idx="12">
                  <c:v>13000000</c:v>
                </c:pt>
                <c:pt idx="13">
                  <c:v>14000000</c:v>
                </c:pt>
                <c:pt idx="14">
                  <c:v>15000000</c:v>
                </c:pt>
                <c:pt idx="15">
                  <c:v>16000000</c:v>
                </c:pt>
                <c:pt idx="16">
                  <c:v>17000000</c:v>
                </c:pt>
                <c:pt idx="17">
                  <c:v>18000000</c:v>
                </c:pt>
                <c:pt idx="18">
                  <c:v>19000000</c:v>
                </c:pt>
                <c:pt idx="19">
                  <c:v>20000000</c:v>
                </c:pt>
                <c:pt idx="20">
                  <c:v>21000000</c:v>
                </c:pt>
                <c:pt idx="21">
                  <c:v>22000000</c:v>
                </c:pt>
                <c:pt idx="22">
                  <c:v>23000000</c:v>
                </c:pt>
                <c:pt idx="23">
                  <c:v>24000000</c:v>
                </c:pt>
                <c:pt idx="24">
                  <c:v>25000000</c:v>
                </c:pt>
              </c:numCache>
            </c:numRef>
          </c:xVal>
          <c:yVal>
            <c:numRef>
              <c:f>5</c:f>
              <c:numCache>
                <c:formatCode>General</c:formatCode>
                <c:ptCount val="25"/>
                <c:pt idx="0">
                  <c:v>28</c:v>
                </c:pt>
                <c:pt idx="1">
                  <c:v>47</c:v>
                </c:pt>
                <c:pt idx="2">
                  <c:v>54.5</c:v>
                </c:pt>
                <c:pt idx="3">
                  <c:v>69</c:v>
                </c:pt>
                <c:pt idx="4">
                  <c:v>88</c:v>
                </c:pt>
                <c:pt idx="5">
                  <c:v>110</c:v>
                </c:pt>
                <c:pt idx="6">
                  <c:v>125</c:v>
                </c:pt>
                <c:pt idx="7">
                  <c:v>140</c:v>
                </c:pt>
                <c:pt idx="8">
                  <c:v>160.5</c:v>
                </c:pt>
                <c:pt idx="9">
                  <c:v>183.5</c:v>
                </c:pt>
                <c:pt idx="10">
                  <c:v>206</c:v>
                </c:pt>
                <c:pt idx="11">
                  <c:v>232</c:v>
                </c:pt>
                <c:pt idx="12">
                  <c:v>253.5</c:v>
                </c:pt>
                <c:pt idx="13">
                  <c:v>269.5</c:v>
                </c:pt>
                <c:pt idx="14">
                  <c:v>291.5</c:v>
                </c:pt>
                <c:pt idx="15">
                  <c:v>306.5</c:v>
                </c:pt>
                <c:pt idx="16">
                  <c:v>325</c:v>
                </c:pt>
                <c:pt idx="17">
                  <c:v>345</c:v>
                </c:pt>
                <c:pt idx="18">
                  <c:v>364</c:v>
                </c:pt>
                <c:pt idx="19">
                  <c:v>383.5</c:v>
                </c:pt>
                <c:pt idx="20">
                  <c:v>410</c:v>
                </c:pt>
                <c:pt idx="21">
                  <c:v>437.5</c:v>
                </c:pt>
                <c:pt idx="22">
                  <c:v>455.5</c:v>
                </c:pt>
                <c:pt idx="23">
                  <c:v>480.5</c:v>
                </c:pt>
                <c:pt idx="24">
                  <c:v>501</c:v>
                </c:pt>
              </c:numCache>
            </c:numRef>
          </c:yVal>
        </c:ser>
        <c:axId val="51053622"/>
        <c:axId val="72302836"/>
      </c:scatterChart>
      <c:valAx>
        <c:axId val="51053622"/>
        <c:scaling>
          <c:orientation val="minMax"/>
        </c:scaling>
        <c:delete val="0"/>
        <c:axPos val="b"/>
        <c:majorGridlines>
          <c:spPr>
            <a:ln>
              <a:solidFill>
                <a:srgbClr val="b3b3b3"/>
              </a:solidFill>
            </a:ln>
          </c:spPr>
        </c:majorGridlines>
        <c:title>
          <c:tx>
            <c:rich>
              <a:bodyPr/>
              <a:lstStyle/>
              <a:p>
                <a:pPr>
                  <a:defRPr/>
                </a:pPr>
                <a:r>
                  <a:rPr sz="900">
                    <a:latin typeface="Arial"/>
                  </a:rPr>
                  <a:t>n</a:t>
                </a:r>
              </a:p>
            </c:rich>
          </c:tx>
          <c:layout/>
        </c:title>
        <c:majorTickMark val="out"/>
        <c:minorTickMark val="none"/>
        <c:tickLblPos val="nextTo"/>
        <c:spPr>
          <a:ln>
            <a:solidFill>
              <a:srgbClr val="b3b3b3"/>
            </a:solidFill>
          </a:ln>
        </c:spPr>
        <c:crossAx val="72302836"/>
        <c:crossesAt val="0"/>
      </c:valAx>
      <c:valAx>
        <c:axId val="72302836"/>
        <c:scaling>
          <c:orientation val="minMax"/>
        </c:scaling>
        <c:delete val="0"/>
        <c:axPos val="l"/>
        <c:majorGridlines>
          <c:spPr>
            <a:ln>
              <a:solidFill>
                <a:srgbClr val="b3b3b3"/>
              </a:solidFill>
            </a:ln>
          </c:spPr>
        </c:majorGridlines>
        <c:title>
          <c:tx>
            <c:rich>
              <a:bodyPr/>
              <a:lstStyle/>
              <a:p>
                <a:pPr>
                  <a:defRPr/>
                </a:pPr>
                <a:r>
                  <a:rPr sz="900">
                    <a:latin typeface="Arial"/>
                  </a:rPr>
                  <a:t>t [ms]</a:t>
                </a:r>
              </a:p>
            </c:rich>
          </c:tx>
          <c:layout/>
        </c:title>
        <c:majorTickMark val="out"/>
        <c:minorTickMark val="none"/>
        <c:tickLblPos val="nextTo"/>
        <c:spPr>
          <a:ln>
            <a:solidFill>
              <a:srgbClr val="b3b3b3"/>
            </a:solidFill>
          </a:ln>
        </c:spPr>
        <c:crossAx val="51053622"/>
        <c:crossesAt val="0"/>
      </c:valAx>
      <c:spPr>
        <a:noFill/>
        <a:ln>
          <a:solidFill>
            <a:srgbClr val="b3b3b3"/>
          </a:solidFill>
        </a:ln>
      </c:spPr>
    </c:plotArea>
    <c:legend>
      <c:legendPos val="r"/>
      <c:overlay val="0"/>
      <c:spPr>
        <a:noFill/>
        <a:ln>
          <a:noFill/>
        </a:ln>
      </c:spPr>
    </c:legend>
    <c:plotVisOnly val="1"/>
  </c:chart>
  <c:spPr>
    <a:solidFill>
      <a:srgbClr val="ffffff"/>
    </a:solidFill>
    <a:ln>
      <a:noFill/>
    </a:ln>
  </c:spPr>
</c:chartSpace>
</file>

<file path=word/charts/chart2.xml><?xml version="1.0" encoding="utf-8"?>
<c:chartSpace xmlns:c="http://schemas.openxmlformats.org/drawingml/2006/chart" xmlns:a="http://schemas.openxmlformats.org/drawingml/2006/main" xmlns:r="http://schemas.openxmlformats.org/officeDocument/2006/relationships">
  <c:lang val="en-US"/>
  <c:chart>
    <c:title>
      <c:tx>
        <c:rich>
          <a:bodyPr/>
          <a:lstStyle/>
          <a:p>
            <a:pPr>
              <a:defRPr/>
            </a:pPr>
            <a:r>
              <a:rPr sz="1300">
                <a:latin typeface="Arial"/>
              </a:rPr>
              <a:t>Pivot: First element</a:t>
            </a:r>
          </a:p>
        </c:rich>
      </c:tx>
      <c:layout/>
    </c:title>
    <c:plotArea>
      <c:layout/>
      <c:scatterChart>
        <c:scatterStyle val="lineMarker"/>
        <c:varyColors val="0"/>
        <c:ser>
          <c:idx val="0"/>
          <c:order val="0"/>
          <c:tx>
            <c:strRef>
              <c:f>label 1</c:f>
              <c:strCache>
                <c:ptCount val="1"/>
                <c:pt idx="0">
                  <c:v>random</c:v>
                </c:pt>
              </c:strCache>
            </c:strRef>
          </c:tx>
          <c:spPr>
            <a:solidFill>
              <a:srgbClr val="004586"/>
            </a:solidFill>
            <a:ln w="28800">
              <a:solidFill>
                <a:srgbClr val="004586"/>
              </a:solidFill>
              <a:round/>
            </a:ln>
          </c:spPr>
          <c:marker>
            <c:symbol val="none"/>
          </c:marker>
          <c:cat>
            <c:strRef>
              <c:f>categories</c:f>
              <c:strCache>
                <c:ptCount val="26"/>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strCache>
            </c:strRef>
          </c:cat>
          <c:xVal>
            <c:numRef>
              <c:f>0</c:f>
              <c:numCache>
                <c:formatCode>General</c:formatCode>
                <c:ptCount val="26"/>
                <c:pt idx="0">
                  <c:v>1000000</c:v>
                </c:pt>
                <c:pt idx="1">
                  <c:v>2000000</c:v>
                </c:pt>
                <c:pt idx="2">
                  <c:v>3000000</c:v>
                </c:pt>
                <c:pt idx="3">
                  <c:v>4000000</c:v>
                </c:pt>
                <c:pt idx="4">
                  <c:v>5000000</c:v>
                </c:pt>
                <c:pt idx="5">
                  <c:v>6000000</c:v>
                </c:pt>
                <c:pt idx="6">
                  <c:v>7000000</c:v>
                </c:pt>
                <c:pt idx="7">
                  <c:v>8000000</c:v>
                </c:pt>
                <c:pt idx="8">
                  <c:v>9000000</c:v>
                </c:pt>
                <c:pt idx="9">
                  <c:v>10000000</c:v>
                </c:pt>
                <c:pt idx="10">
                  <c:v>11000000</c:v>
                </c:pt>
                <c:pt idx="11">
                  <c:v>12000000</c:v>
                </c:pt>
                <c:pt idx="12">
                  <c:v>13000000</c:v>
                </c:pt>
                <c:pt idx="13">
                  <c:v>14000000</c:v>
                </c:pt>
                <c:pt idx="14">
                  <c:v>15000000</c:v>
                </c:pt>
                <c:pt idx="15">
                  <c:v>16000000</c:v>
                </c:pt>
                <c:pt idx="16">
                  <c:v>17000000</c:v>
                </c:pt>
                <c:pt idx="17">
                  <c:v>18000000</c:v>
                </c:pt>
                <c:pt idx="18">
                  <c:v>19000000</c:v>
                </c:pt>
                <c:pt idx="19">
                  <c:v>20000000</c:v>
                </c:pt>
                <c:pt idx="20">
                  <c:v>21000000</c:v>
                </c:pt>
                <c:pt idx="21">
                  <c:v>22000000</c:v>
                </c:pt>
                <c:pt idx="22">
                  <c:v>23000000</c:v>
                </c:pt>
                <c:pt idx="23">
                  <c:v>24000000</c:v>
                </c:pt>
                <c:pt idx="24">
                  <c:v>25000000</c:v>
                </c:pt>
                <c:pt idx="25">
                  <c:v>26000000</c:v>
                </c:pt>
              </c:numCache>
            </c:numRef>
          </c:xVal>
          <c:yVal>
            <c:numRef>
              <c:f>1</c:f>
              <c:numCache>
                <c:formatCode>General</c:formatCode>
                <c:ptCount val="26"/>
                <c:pt idx="0">
                  <c:v>25</c:v>
                </c:pt>
                <c:pt idx="1">
                  <c:v>39</c:v>
                </c:pt>
                <c:pt idx="2">
                  <c:v>52</c:v>
                </c:pt>
                <c:pt idx="3">
                  <c:v>67</c:v>
                </c:pt>
                <c:pt idx="4">
                  <c:v>93.5</c:v>
                </c:pt>
                <c:pt idx="5">
                  <c:v>105</c:v>
                </c:pt>
                <c:pt idx="6">
                  <c:v>125</c:v>
                </c:pt>
                <c:pt idx="7">
                  <c:v>141</c:v>
                </c:pt>
                <c:pt idx="8">
                  <c:v>174</c:v>
                </c:pt>
                <c:pt idx="9">
                  <c:v>191</c:v>
                </c:pt>
                <c:pt idx="10">
                  <c:v>205.5</c:v>
                </c:pt>
                <c:pt idx="11">
                  <c:v>223</c:v>
                </c:pt>
                <c:pt idx="12">
                  <c:v>247</c:v>
                </c:pt>
                <c:pt idx="13">
                  <c:v>275.5</c:v>
                </c:pt>
                <c:pt idx="14">
                  <c:v>282</c:v>
                </c:pt>
                <c:pt idx="15">
                  <c:v>294.5</c:v>
                </c:pt>
                <c:pt idx="16">
                  <c:v>352.5</c:v>
                </c:pt>
                <c:pt idx="17">
                  <c:v>364</c:v>
                </c:pt>
                <c:pt idx="18">
                  <c:v>385.5</c:v>
                </c:pt>
                <c:pt idx="19">
                  <c:v>397.5</c:v>
                </c:pt>
                <c:pt idx="20">
                  <c:v>428</c:v>
                </c:pt>
                <c:pt idx="21">
                  <c:v>440</c:v>
                </c:pt>
                <c:pt idx="22">
                  <c:v>459</c:v>
                </c:pt>
                <c:pt idx="23">
                  <c:v>474</c:v>
                </c:pt>
                <c:pt idx="24">
                  <c:v>492</c:v>
                </c:pt>
                <c:pt idx="25">
                  <c:v>527</c:v>
                </c:pt>
              </c:numCache>
            </c:numRef>
          </c:yVal>
        </c:ser>
        <c:axId val="26491963"/>
        <c:axId val="62183950"/>
      </c:scatterChart>
      <c:valAx>
        <c:axId val="26491963"/>
        <c:scaling>
          <c:orientation val="minMax"/>
        </c:scaling>
        <c:delete val="0"/>
        <c:axPos val="b"/>
        <c:majorGridlines>
          <c:spPr>
            <a:ln>
              <a:solidFill>
                <a:srgbClr val="b3b3b3"/>
              </a:solidFill>
            </a:ln>
          </c:spPr>
        </c:majorGridlines>
        <c:title>
          <c:tx>
            <c:rich>
              <a:bodyPr/>
              <a:lstStyle/>
              <a:p>
                <a:pPr>
                  <a:defRPr/>
                </a:pPr>
                <a:r>
                  <a:rPr sz="900">
                    <a:latin typeface="Arial"/>
                  </a:rPr>
                  <a:t>n</a:t>
                </a:r>
              </a:p>
            </c:rich>
          </c:tx>
          <c:layout/>
        </c:title>
        <c:majorTickMark val="out"/>
        <c:minorTickMark val="none"/>
        <c:tickLblPos val="nextTo"/>
        <c:spPr>
          <a:ln>
            <a:solidFill>
              <a:srgbClr val="b3b3b3"/>
            </a:solidFill>
          </a:ln>
        </c:spPr>
        <c:crossAx val="62183950"/>
        <c:crossesAt val="0"/>
      </c:valAx>
      <c:valAx>
        <c:axId val="62183950"/>
        <c:scaling>
          <c:orientation val="minMax"/>
        </c:scaling>
        <c:delete val="0"/>
        <c:axPos val="l"/>
        <c:majorGridlines>
          <c:spPr>
            <a:ln>
              <a:solidFill>
                <a:srgbClr val="b3b3b3"/>
              </a:solidFill>
            </a:ln>
          </c:spPr>
        </c:majorGridlines>
        <c:title>
          <c:tx>
            <c:rich>
              <a:bodyPr/>
              <a:lstStyle/>
              <a:p>
                <a:pPr>
                  <a:defRPr/>
                </a:pPr>
                <a:r>
                  <a:rPr sz="900">
                    <a:latin typeface="Arial"/>
                  </a:rPr>
                  <a:t>time [ms]</a:t>
                </a:r>
              </a:p>
            </c:rich>
          </c:tx>
          <c:layout/>
        </c:title>
        <c:majorTickMark val="out"/>
        <c:minorTickMark val="none"/>
        <c:tickLblPos val="nextTo"/>
        <c:spPr>
          <a:ln>
            <a:solidFill>
              <a:srgbClr val="b3b3b3"/>
            </a:solidFill>
          </a:ln>
        </c:spPr>
        <c:crossAx val="26491963"/>
        <c:crossesAt val="0"/>
      </c:valAx>
      <c:spPr>
        <a:noFill/>
        <a:ln>
          <a:solidFill>
            <a:srgbClr val="b3b3b3"/>
          </a:solidFill>
        </a:ln>
      </c:spPr>
    </c:plotArea>
    <c:legend>
      <c:legendPos val="r"/>
      <c:overlay val="0"/>
      <c:spPr>
        <a:noFill/>
        <a:ln>
          <a:noFill/>
        </a:ln>
      </c:spPr>
    </c:legend>
    <c:plotVisOnly val="1"/>
  </c:chart>
  <c:spPr>
    <a:solidFill>
      <a:srgbClr val="ffffff"/>
    </a:solidFill>
    <a:ln>
      <a:noFill/>
    </a:ln>
  </c:spPr>
</c:chartSpace>
</file>

<file path=word/charts/chart3.xml><?xml version="1.0" encoding="utf-8"?>
<c:chartSpace xmlns:c="http://schemas.openxmlformats.org/drawingml/2006/chart" xmlns:a="http://schemas.openxmlformats.org/drawingml/2006/main" xmlns:r="http://schemas.openxmlformats.org/officeDocument/2006/relationships">
  <c:lang val="en-US"/>
  <c:chart>
    <c:title>
      <c:tx>
        <c:rich>
          <a:bodyPr/>
          <a:lstStyle/>
          <a:p>
            <a:pPr>
              <a:defRPr/>
            </a:pPr>
            <a:r>
              <a:rPr sz="1300">
                <a:latin typeface="Arial"/>
              </a:rPr>
              <a:t>Pivot: First element</a:t>
            </a:r>
          </a:p>
        </c:rich>
      </c:tx>
      <c:layout/>
    </c:title>
    <c:plotArea>
      <c:layout/>
      <c:scatterChart>
        <c:scatterStyle val="lineMarker"/>
        <c:varyColors val="0"/>
        <c:ser>
          <c:idx val="0"/>
          <c:order val="0"/>
          <c:tx>
            <c:strRef>
              <c:f>label 1</c:f>
              <c:strCache>
                <c:ptCount val="1"/>
                <c:pt idx="0">
                  <c:v>descending</c:v>
                </c:pt>
              </c:strCache>
            </c:strRef>
          </c:tx>
          <c:spPr>
            <a:solidFill>
              <a:srgbClr val="004586"/>
            </a:solidFill>
            <a:ln w="28800">
              <a:solidFill>
                <a:srgbClr val="004586"/>
              </a:solidFill>
              <a:round/>
            </a:ln>
          </c:spPr>
          <c:marker>
            <c:symbol val="none"/>
          </c:marker>
          <c:cat>
            <c:strRef>
              <c:f>categories</c:f>
              <c:strCache>
                <c:ptCount val="41"/>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
                </c:pt>
                <c:pt idx="40">
                  <c:v/>
                </c:pt>
              </c:strCache>
            </c:strRef>
          </c:cat>
          <c:xVal>
            <c:numRef>
              <c:f>0</c:f>
              <c:numCache>
                <c:formatCode>General</c:formatCode>
                <c:ptCount val="41"/>
                <c:pt idx="0">
                  <c:v>1000</c:v>
                </c:pt>
                <c:pt idx="1">
                  <c:v>2000</c:v>
                </c:pt>
                <c:pt idx="2">
                  <c:v>3000</c:v>
                </c:pt>
                <c:pt idx="3">
                  <c:v>4000</c:v>
                </c:pt>
                <c:pt idx="4">
                  <c:v>5000</c:v>
                </c:pt>
                <c:pt idx="5">
                  <c:v>6000</c:v>
                </c:pt>
                <c:pt idx="6">
                  <c:v>7000</c:v>
                </c:pt>
                <c:pt idx="7">
                  <c:v>8000</c:v>
                </c:pt>
                <c:pt idx="8">
                  <c:v>9000</c:v>
                </c:pt>
                <c:pt idx="9">
                  <c:v>10000</c:v>
                </c:pt>
                <c:pt idx="10">
                  <c:v>11000</c:v>
                </c:pt>
                <c:pt idx="11">
                  <c:v>12000</c:v>
                </c:pt>
                <c:pt idx="12">
                  <c:v>13000</c:v>
                </c:pt>
                <c:pt idx="13">
                  <c:v>14000</c:v>
                </c:pt>
                <c:pt idx="14">
                  <c:v>15000</c:v>
                </c:pt>
                <c:pt idx="15">
                  <c:v>16000</c:v>
                </c:pt>
                <c:pt idx="16">
                  <c:v>17000</c:v>
                </c:pt>
                <c:pt idx="17">
                  <c:v>18000</c:v>
                </c:pt>
                <c:pt idx="18">
                  <c:v>19000</c:v>
                </c:pt>
                <c:pt idx="19">
                  <c:v>20000</c:v>
                </c:pt>
                <c:pt idx="20">
                  <c:v>21000</c:v>
                </c:pt>
                <c:pt idx="21">
                  <c:v>22000</c:v>
                </c:pt>
                <c:pt idx="22">
                  <c:v>23000</c:v>
                </c:pt>
                <c:pt idx="23">
                  <c:v>24000</c:v>
                </c:pt>
                <c:pt idx="24">
                  <c:v>25000</c:v>
                </c:pt>
                <c:pt idx="25">
                  <c:v>26000</c:v>
                </c:pt>
                <c:pt idx="26">
                  <c:v>27000</c:v>
                </c:pt>
                <c:pt idx="27">
                  <c:v>28000</c:v>
                </c:pt>
                <c:pt idx="28">
                  <c:v>29000</c:v>
                </c:pt>
                <c:pt idx="29">
                  <c:v>30000</c:v>
                </c:pt>
                <c:pt idx="30">
                  <c:v>31000</c:v>
                </c:pt>
                <c:pt idx="31">
                  <c:v>32000</c:v>
                </c:pt>
                <c:pt idx="32">
                  <c:v>33000</c:v>
                </c:pt>
                <c:pt idx="33">
                  <c:v>34000</c:v>
                </c:pt>
                <c:pt idx="34">
                  <c:v>35000</c:v>
                </c:pt>
                <c:pt idx="35">
                  <c:v>36000</c:v>
                </c:pt>
                <c:pt idx="36">
                  <c:v>37000</c:v>
                </c:pt>
                <c:pt idx="37">
                  <c:v>38000</c:v>
                </c:pt>
                <c:pt idx="38">
                  <c:v>39000</c:v>
                </c:pt>
                <c:pt idx="39">
                  <c:v/>
                </c:pt>
                <c:pt idx="40">
                  <c:v/>
                </c:pt>
              </c:numCache>
            </c:numRef>
          </c:xVal>
          <c:yVal>
            <c:numRef>
              <c:f>1</c:f>
              <c:numCache>
                <c:formatCode>General</c:formatCode>
                <c:ptCount val="41"/>
                <c:pt idx="0">
                  <c:v>1</c:v>
                </c:pt>
                <c:pt idx="1">
                  <c:v>1</c:v>
                </c:pt>
                <c:pt idx="2">
                  <c:v>3</c:v>
                </c:pt>
                <c:pt idx="3">
                  <c:v>8</c:v>
                </c:pt>
                <c:pt idx="4">
                  <c:v>12</c:v>
                </c:pt>
                <c:pt idx="5">
                  <c:v>19.5</c:v>
                </c:pt>
                <c:pt idx="6">
                  <c:v>31</c:v>
                </c:pt>
                <c:pt idx="7">
                  <c:v>34</c:v>
                </c:pt>
                <c:pt idx="8">
                  <c:v>27</c:v>
                </c:pt>
                <c:pt idx="9">
                  <c:v>34</c:v>
                </c:pt>
                <c:pt idx="10">
                  <c:v>41</c:v>
                </c:pt>
                <c:pt idx="11">
                  <c:v>48.5</c:v>
                </c:pt>
                <c:pt idx="12">
                  <c:v>57.5</c:v>
                </c:pt>
                <c:pt idx="13">
                  <c:v>67</c:v>
                </c:pt>
                <c:pt idx="14">
                  <c:v>76.5</c:v>
                </c:pt>
                <c:pt idx="15">
                  <c:v>88</c:v>
                </c:pt>
                <c:pt idx="16">
                  <c:v>98.5</c:v>
                </c:pt>
                <c:pt idx="17">
                  <c:v>109</c:v>
                </c:pt>
                <c:pt idx="18">
                  <c:v>121.5</c:v>
                </c:pt>
                <c:pt idx="19">
                  <c:v>135</c:v>
                </c:pt>
                <c:pt idx="20">
                  <c:v>148</c:v>
                </c:pt>
                <c:pt idx="21">
                  <c:v>163.5</c:v>
                </c:pt>
                <c:pt idx="22">
                  <c:v>179.5</c:v>
                </c:pt>
                <c:pt idx="23">
                  <c:v>194.5</c:v>
                </c:pt>
                <c:pt idx="24">
                  <c:v>211</c:v>
                </c:pt>
                <c:pt idx="25">
                  <c:v>230</c:v>
                </c:pt>
                <c:pt idx="26">
                  <c:v>246</c:v>
                </c:pt>
                <c:pt idx="27">
                  <c:v>265.5</c:v>
                </c:pt>
                <c:pt idx="28">
                  <c:v>284.5</c:v>
                </c:pt>
                <c:pt idx="29">
                  <c:v>305</c:v>
                </c:pt>
                <c:pt idx="30">
                  <c:v>325</c:v>
                </c:pt>
                <c:pt idx="31">
                  <c:v>346.5</c:v>
                </c:pt>
                <c:pt idx="32">
                  <c:v>367</c:v>
                </c:pt>
                <c:pt idx="33">
                  <c:v>388.5</c:v>
                </c:pt>
                <c:pt idx="34">
                  <c:v>411</c:v>
                </c:pt>
                <c:pt idx="35">
                  <c:v>437.5</c:v>
                </c:pt>
                <c:pt idx="36">
                  <c:v>462</c:v>
                </c:pt>
                <c:pt idx="37">
                  <c:v>490</c:v>
                </c:pt>
                <c:pt idx="38">
                  <c:v>519</c:v>
                </c:pt>
                <c:pt idx="39">
                  <c:v/>
                </c:pt>
                <c:pt idx="40">
                  <c:v/>
                </c:pt>
              </c:numCache>
            </c:numRef>
          </c:yVal>
        </c:ser>
        <c:ser>
          <c:idx val="1"/>
          <c:order val="1"/>
          <c:tx>
            <c:strRef>
              <c:f>label 3</c:f>
              <c:strCache>
                <c:ptCount val="1"/>
                <c:pt idx="0">
                  <c:v>ascending</c:v>
                </c:pt>
              </c:strCache>
            </c:strRef>
          </c:tx>
          <c:spPr>
            <a:solidFill>
              <a:srgbClr val="ff420e"/>
            </a:solidFill>
            <a:ln w="28800">
              <a:solidFill>
                <a:srgbClr val="ff420e"/>
              </a:solidFill>
              <a:round/>
            </a:ln>
          </c:spPr>
          <c:marker>
            <c:symbol val="none"/>
          </c:marker>
          <c:cat>
            <c:strRef>
              <c:f>categories</c:f>
              <c:strCache>
                <c:ptCount val="41"/>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
                </c:pt>
                <c:pt idx="40">
                  <c:v/>
                </c:pt>
              </c:strCache>
            </c:strRef>
          </c:cat>
          <c:xVal>
            <c:numRef>
              <c:f>2</c:f>
              <c:numCache>
                <c:formatCode>General</c:formatCode>
                <c:ptCount val="41"/>
                <c:pt idx="0">
                  <c:v>1000</c:v>
                </c:pt>
                <c:pt idx="1">
                  <c:v>2000</c:v>
                </c:pt>
                <c:pt idx="2">
                  <c:v>3000</c:v>
                </c:pt>
                <c:pt idx="3">
                  <c:v>4000</c:v>
                </c:pt>
                <c:pt idx="4">
                  <c:v>5000</c:v>
                </c:pt>
                <c:pt idx="5">
                  <c:v>6000</c:v>
                </c:pt>
                <c:pt idx="6">
                  <c:v>7000</c:v>
                </c:pt>
                <c:pt idx="7">
                  <c:v>8000</c:v>
                </c:pt>
                <c:pt idx="8">
                  <c:v>9000</c:v>
                </c:pt>
                <c:pt idx="9">
                  <c:v>10000</c:v>
                </c:pt>
                <c:pt idx="10">
                  <c:v>11000</c:v>
                </c:pt>
                <c:pt idx="11">
                  <c:v>12000</c:v>
                </c:pt>
                <c:pt idx="12">
                  <c:v>13000</c:v>
                </c:pt>
                <c:pt idx="13">
                  <c:v>14000</c:v>
                </c:pt>
                <c:pt idx="14">
                  <c:v>15000</c:v>
                </c:pt>
                <c:pt idx="15">
                  <c:v>16000</c:v>
                </c:pt>
                <c:pt idx="16">
                  <c:v>17000</c:v>
                </c:pt>
                <c:pt idx="17">
                  <c:v>18000</c:v>
                </c:pt>
                <c:pt idx="18">
                  <c:v>19000</c:v>
                </c:pt>
                <c:pt idx="19">
                  <c:v>20000</c:v>
                </c:pt>
                <c:pt idx="20">
                  <c:v>21000</c:v>
                </c:pt>
                <c:pt idx="21">
                  <c:v>22000</c:v>
                </c:pt>
                <c:pt idx="22">
                  <c:v>23000</c:v>
                </c:pt>
                <c:pt idx="23">
                  <c:v>24000</c:v>
                </c:pt>
                <c:pt idx="24">
                  <c:v>25000</c:v>
                </c:pt>
                <c:pt idx="25">
                  <c:v>26000</c:v>
                </c:pt>
                <c:pt idx="26">
                  <c:v>27000</c:v>
                </c:pt>
                <c:pt idx="27">
                  <c:v>28000</c:v>
                </c:pt>
                <c:pt idx="28">
                  <c:v>29000</c:v>
                </c:pt>
                <c:pt idx="29">
                  <c:v>30000</c:v>
                </c:pt>
                <c:pt idx="30">
                  <c:v>31000</c:v>
                </c:pt>
                <c:pt idx="31">
                  <c:v>32000</c:v>
                </c:pt>
                <c:pt idx="32">
                  <c:v>33000</c:v>
                </c:pt>
                <c:pt idx="33">
                  <c:v>34000</c:v>
                </c:pt>
                <c:pt idx="34">
                  <c:v>35000</c:v>
                </c:pt>
                <c:pt idx="35">
                  <c:v>36000</c:v>
                </c:pt>
                <c:pt idx="36">
                  <c:v>37000</c:v>
                </c:pt>
                <c:pt idx="37">
                  <c:v>38000</c:v>
                </c:pt>
                <c:pt idx="38">
                  <c:v>39000</c:v>
                </c:pt>
                <c:pt idx="39">
                  <c:v>40000</c:v>
                </c:pt>
                <c:pt idx="40">
                  <c:v>41000</c:v>
                </c:pt>
              </c:numCache>
            </c:numRef>
          </c:xVal>
          <c:yVal>
            <c:numRef>
              <c:f>3</c:f>
              <c:numCache>
                <c:formatCode>General</c:formatCode>
                <c:ptCount val="41"/>
                <c:pt idx="0">
                  <c:v>3</c:v>
                </c:pt>
                <c:pt idx="1">
                  <c:v>1</c:v>
                </c:pt>
                <c:pt idx="2">
                  <c:v>4</c:v>
                </c:pt>
                <c:pt idx="3">
                  <c:v>6</c:v>
                </c:pt>
                <c:pt idx="4">
                  <c:v>15</c:v>
                </c:pt>
                <c:pt idx="5">
                  <c:v>15</c:v>
                </c:pt>
                <c:pt idx="6">
                  <c:v>28</c:v>
                </c:pt>
                <c:pt idx="7">
                  <c:v>23.5</c:v>
                </c:pt>
                <c:pt idx="8">
                  <c:v>25</c:v>
                </c:pt>
                <c:pt idx="9">
                  <c:v>31</c:v>
                </c:pt>
                <c:pt idx="10">
                  <c:v>37</c:v>
                </c:pt>
                <c:pt idx="11">
                  <c:v>44</c:v>
                </c:pt>
                <c:pt idx="12">
                  <c:v>52</c:v>
                </c:pt>
                <c:pt idx="13">
                  <c:v>60</c:v>
                </c:pt>
                <c:pt idx="14">
                  <c:v>69</c:v>
                </c:pt>
                <c:pt idx="15">
                  <c:v>78</c:v>
                </c:pt>
                <c:pt idx="16">
                  <c:v>88</c:v>
                </c:pt>
                <c:pt idx="17">
                  <c:v>98</c:v>
                </c:pt>
                <c:pt idx="18">
                  <c:v>110</c:v>
                </c:pt>
                <c:pt idx="19">
                  <c:v>121.5</c:v>
                </c:pt>
                <c:pt idx="20">
                  <c:v>134</c:v>
                </c:pt>
                <c:pt idx="21">
                  <c:v>147.5</c:v>
                </c:pt>
                <c:pt idx="22">
                  <c:v>162</c:v>
                </c:pt>
                <c:pt idx="23">
                  <c:v>176</c:v>
                </c:pt>
                <c:pt idx="24">
                  <c:v>189.5</c:v>
                </c:pt>
                <c:pt idx="25">
                  <c:v>205</c:v>
                </c:pt>
                <c:pt idx="26">
                  <c:v>221</c:v>
                </c:pt>
                <c:pt idx="27">
                  <c:v>237</c:v>
                </c:pt>
                <c:pt idx="28">
                  <c:v>257</c:v>
                </c:pt>
                <c:pt idx="29">
                  <c:v>275</c:v>
                </c:pt>
                <c:pt idx="30">
                  <c:v>293</c:v>
                </c:pt>
                <c:pt idx="31">
                  <c:v>311.5</c:v>
                </c:pt>
                <c:pt idx="32">
                  <c:v>331.5</c:v>
                </c:pt>
                <c:pt idx="33">
                  <c:v>350.5</c:v>
                </c:pt>
                <c:pt idx="34">
                  <c:v>371</c:v>
                </c:pt>
                <c:pt idx="35">
                  <c:v>394</c:v>
                </c:pt>
                <c:pt idx="36">
                  <c:v>415</c:v>
                </c:pt>
                <c:pt idx="37">
                  <c:v>441.5</c:v>
                </c:pt>
                <c:pt idx="38">
                  <c:v>461</c:v>
                </c:pt>
                <c:pt idx="39">
                  <c:v>485</c:v>
                </c:pt>
                <c:pt idx="40">
                  <c:v>508</c:v>
                </c:pt>
              </c:numCache>
            </c:numRef>
          </c:yVal>
        </c:ser>
        <c:axId val="28235840"/>
        <c:axId val="75226896"/>
      </c:scatterChart>
      <c:valAx>
        <c:axId val="28235840"/>
        <c:scaling>
          <c:orientation val="minMax"/>
        </c:scaling>
        <c:delete val="0"/>
        <c:axPos val="b"/>
        <c:majorGridlines>
          <c:spPr>
            <a:ln>
              <a:solidFill>
                <a:srgbClr val="b3b3b3"/>
              </a:solidFill>
            </a:ln>
          </c:spPr>
        </c:majorGridlines>
        <c:title>
          <c:tx>
            <c:rich>
              <a:bodyPr/>
              <a:lstStyle/>
              <a:p>
                <a:pPr>
                  <a:defRPr/>
                </a:pPr>
                <a:r>
                  <a:rPr sz="900">
                    <a:latin typeface="Arial"/>
                  </a:rPr>
                  <a:t>n</a:t>
                </a:r>
              </a:p>
            </c:rich>
          </c:tx>
          <c:layout/>
        </c:title>
        <c:majorTickMark val="out"/>
        <c:minorTickMark val="none"/>
        <c:tickLblPos val="nextTo"/>
        <c:spPr>
          <a:ln>
            <a:solidFill>
              <a:srgbClr val="b3b3b3"/>
            </a:solidFill>
          </a:ln>
        </c:spPr>
        <c:crossAx val="75226896"/>
        <c:crossesAt val="0"/>
        <c:majorUnit val="10000"/>
      </c:valAx>
      <c:valAx>
        <c:axId val="75226896"/>
        <c:scaling>
          <c:orientation val="minMax"/>
        </c:scaling>
        <c:delete val="0"/>
        <c:axPos val="l"/>
        <c:majorGridlines>
          <c:spPr>
            <a:ln>
              <a:solidFill>
                <a:srgbClr val="b3b3b3"/>
              </a:solidFill>
            </a:ln>
          </c:spPr>
        </c:majorGridlines>
        <c:title>
          <c:tx>
            <c:rich>
              <a:bodyPr/>
              <a:lstStyle/>
              <a:p>
                <a:pPr>
                  <a:defRPr/>
                </a:pPr>
                <a:r>
                  <a:rPr sz="900">
                    <a:latin typeface="Arial"/>
                  </a:rPr>
                  <a:t>time [ms]</a:t>
                </a:r>
              </a:p>
            </c:rich>
          </c:tx>
          <c:layout/>
        </c:title>
        <c:majorTickMark val="out"/>
        <c:minorTickMark val="none"/>
        <c:tickLblPos val="nextTo"/>
        <c:spPr>
          <a:ln>
            <a:solidFill>
              <a:srgbClr val="b3b3b3"/>
            </a:solidFill>
          </a:ln>
        </c:spPr>
        <c:crossAx val="28235840"/>
        <c:crossesAt val="0"/>
      </c:valAx>
      <c:spPr>
        <a:noFill/>
        <a:ln>
          <a:solidFill>
            <a:srgbClr val="b3b3b3"/>
          </a:solidFill>
        </a:ln>
      </c:spPr>
    </c:plotArea>
    <c:legend>
      <c:legendPos val="r"/>
      <c:overlay val="0"/>
      <c:spPr>
        <a:noFill/>
        <a:ln>
          <a:noFill/>
        </a:ln>
      </c:spPr>
    </c:legend>
    <c:plotVisOnly val="1"/>
  </c:chart>
  <c:spPr>
    <a:solidFill>
      <a:srgbClr val="ffffff"/>
    </a:solidFill>
    <a:ln>
      <a:noFill/>
    </a:ln>
  </c:spPr>
</c:chartSpace>
</file>

<file path=word/charts/chart4.xml><?xml version="1.0" encoding="utf-8"?>
<c:chartSpace xmlns:c="http://schemas.openxmlformats.org/drawingml/2006/chart" xmlns:a="http://schemas.openxmlformats.org/drawingml/2006/main" xmlns:r="http://schemas.openxmlformats.org/officeDocument/2006/relationships">
  <c:lang val="en-US"/>
  <c:chart>
    <c:title>
      <c:tx>
        <c:rich>
          <a:bodyPr/>
          <a:lstStyle/>
          <a:p>
            <a:pPr>
              <a:defRPr/>
            </a:pPr>
            <a:r>
              <a:rPr sz="1300">
                <a:latin typeface="Arial"/>
              </a:rPr>
              <a:t>Pivot: Last element</a:t>
            </a:r>
          </a:p>
        </c:rich>
      </c:tx>
      <c:layout/>
    </c:title>
    <c:plotArea>
      <c:layout/>
      <c:scatterChart>
        <c:scatterStyle val="lineMarker"/>
        <c:varyColors val="0"/>
        <c:ser>
          <c:idx val="0"/>
          <c:order val="0"/>
          <c:tx>
            <c:strRef>
              <c:f>label 1</c:f>
              <c:strCache>
                <c:ptCount val="1"/>
                <c:pt idx="0">
                  <c:v>ascending</c:v>
                </c:pt>
              </c:strCache>
            </c:strRef>
          </c:tx>
          <c:spPr>
            <a:solidFill>
              <a:srgbClr val="004586"/>
            </a:solidFill>
            <a:ln w="28800">
              <a:solidFill>
                <a:srgbClr val="004586"/>
              </a:solidFill>
              <a:round/>
            </a:ln>
          </c:spPr>
          <c:marker>
            <c:symbol val="none"/>
          </c:marker>
          <c:cat>
            <c:strRef>
              <c:f>categories</c:f>
              <c:strCache>
                <c:ptCount val="52"/>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strCache>
            </c:strRef>
          </c:cat>
          <c:xVal>
            <c:numRef>
              <c:f>0</c:f>
              <c:numCache>
                <c:formatCode>General</c:formatCode>
                <c:ptCount val="52"/>
                <c:pt idx="0">
                  <c:v>1000</c:v>
                </c:pt>
                <c:pt idx="1">
                  <c:v>2000</c:v>
                </c:pt>
                <c:pt idx="2">
                  <c:v>3000</c:v>
                </c:pt>
                <c:pt idx="3">
                  <c:v>4000</c:v>
                </c:pt>
                <c:pt idx="4">
                  <c:v>5000</c:v>
                </c:pt>
                <c:pt idx="5">
                  <c:v>6000</c:v>
                </c:pt>
                <c:pt idx="6">
                  <c:v>7000</c:v>
                </c:pt>
                <c:pt idx="7">
                  <c:v>8000</c:v>
                </c:pt>
                <c:pt idx="8">
                  <c:v>9000</c:v>
                </c:pt>
                <c:pt idx="9">
                  <c:v>10000</c:v>
                </c:pt>
                <c:pt idx="10">
                  <c:v>11000</c:v>
                </c:pt>
                <c:pt idx="11">
                  <c:v>12000</c:v>
                </c:pt>
                <c:pt idx="12">
                  <c:v>13000</c:v>
                </c:pt>
                <c:pt idx="13">
                  <c:v>14000</c:v>
                </c:pt>
                <c:pt idx="14">
                  <c:v>15000</c:v>
                </c:pt>
                <c:pt idx="15">
                  <c:v>16000</c:v>
                </c:pt>
                <c:pt idx="16">
                  <c:v>17000</c:v>
                </c:pt>
                <c:pt idx="17">
                  <c:v>18000</c:v>
                </c:pt>
                <c:pt idx="18">
                  <c:v>19000</c:v>
                </c:pt>
                <c:pt idx="19">
                  <c:v>20000</c:v>
                </c:pt>
                <c:pt idx="20">
                  <c:v>21000</c:v>
                </c:pt>
                <c:pt idx="21">
                  <c:v>22000</c:v>
                </c:pt>
                <c:pt idx="22">
                  <c:v>23000</c:v>
                </c:pt>
                <c:pt idx="23">
                  <c:v>24000</c:v>
                </c:pt>
                <c:pt idx="24">
                  <c:v>25000</c:v>
                </c:pt>
                <c:pt idx="25">
                  <c:v>26000</c:v>
                </c:pt>
                <c:pt idx="26">
                  <c:v>27000</c:v>
                </c:pt>
                <c:pt idx="27">
                  <c:v>28000</c:v>
                </c:pt>
                <c:pt idx="28">
                  <c:v>29000</c:v>
                </c:pt>
                <c:pt idx="29">
                  <c:v>30000</c:v>
                </c:pt>
                <c:pt idx="30">
                  <c:v>31000</c:v>
                </c:pt>
                <c:pt idx="31">
                  <c:v>32000</c:v>
                </c:pt>
                <c:pt idx="32">
                  <c:v>33000</c:v>
                </c:pt>
                <c:pt idx="33">
                  <c:v>34000</c:v>
                </c:pt>
                <c:pt idx="34">
                  <c:v>35000</c:v>
                </c:pt>
                <c:pt idx="35">
                  <c:v>36000</c:v>
                </c:pt>
                <c:pt idx="36">
                  <c:v>37000</c:v>
                </c:pt>
                <c:pt idx="37">
                  <c:v>38000</c:v>
                </c:pt>
                <c:pt idx="38">
                  <c:v>39000</c:v>
                </c:pt>
                <c:pt idx="39">
                  <c:v>40000</c:v>
                </c:pt>
                <c:pt idx="40">
                  <c:v>41000</c:v>
                </c:pt>
                <c:pt idx="41">
                  <c:v>42000</c:v>
                </c:pt>
                <c:pt idx="42">
                  <c:v>43000</c:v>
                </c:pt>
                <c:pt idx="43">
                  <c:v>44000</c:v>
                </c:pt>
                <c:pt idx="44">
                  <c:v>45000</c:v>
                </c:pt>
                <c:pt idx="45">
                  <c:v>46000</c:v>
                </c:pt>
                <c:pt idx="46">
                  <c:v>47000</c:v>
                </c:pt>
                <c:pt idx="47">
                  <c:v>48000</c:v>
                </c:pt>
                <c:pt idx="48">
                  <c:v>49000</c:v>
                </c:pt>
                <c:pt idx="49">
                  <c:v>50000</c:v>
                </c:pt>
                <c:pt idx="50">
                  <c:v>51000</c:v>
                </c:pt>
                <c:pt idx="51">
                  <c:v>52000</c:v>
                </c:pt>
              </c:numCache>
            </c:numRef>
          </c:xVal>
          <c:yVal>
            <c:numRef>
              <c:f>1</c:f>
              <c:numCache>
                <c:formatCode>General</c:formatCode>
                <c:ptCount val="52"/>
                <c:pt idx="0">
                  <c:v>1</c:v>
                </c:pt>
                <c:pt idx="1">
                  <c:v>1</c:v>
                </c:pt>
                <c:pt idx="2">
                  <c:v>2</c:v>
                </c:pt>
                <c:pt idx="3">
                  <c:v>3</c:v>
                </c:pt>
                <c:pt idx="4">
                  <c:v>5</c:v>
                </c:pt>
                <c:pt idx="5">
                  <c:v>8</c:v>
                </c:pt>
                <c:pt idx="6">
                  <c:v>17</c:v>
                </c:pt>
                <c:pt idx="7">
                  <c:v>22</c:v>
                </c:pt>
                <c:pt idx="8">
                  <c:v>17.5</c:v>
                </c:pt>
                <c:pt idx="9">
                  <c:v>26</c:v>
                </c:pt>
                <c:pt idx="10">
                  <c:v>31.5</c:v>
                </c:pt>
                <c:pt idx="11">
                  <c:v>27</c:v>
                </c:pt>
                <c:pt idx="12">
                  <c:v>32</c:v>
                </c:pt>
                <c:pt idx="13">
                  <c:v>36.5</c:v>
                </c:pt>
                <c:pt idx="14">
                  <c:v>42</c:v>
                </c:pt>
                <c:pt idx="15">
                  <c:v>47.5</c:v>
                </c:pt>
                <c:pt idx="16">
                  <c:v>54</c:v>
                </c:pt>
                <c:pt idx="17">
                  <c:v>61</c:v>
                </c:pt>
                <c:pt idx="18">
                  <c:v>67</c:v>
                </c:pt>
                <c:pt idx="19">
                  <c:v>74</c:v>
                </c:pt>
                <c:pt idx="20">
                  <c:v>82.5</c:v>
                </c:pt>
                <c:pt idx="21">
                  <c:v>90</c:v>
                </c:pt>
                <c:pt idx="22">
                  <c:v>99</c:v>
                </c:pt>
                <c:pt idx="23">
                  <c:v>108</c:v>
                </c:pt>
                <c:pt idx="24">
                  <c:v>116</c:v>
                </c:pt>
                <c:pt idx="25">
                  <c:v>125.5</c:v>
                </c:pt>
                <c:pt idx="26">
                  <c:v>136.5</c:v>
                </c:pt>
                <c:pt idx="27">
                  <c:v>146.5</c:v>
                </c:pt>
                <c:pt idx="28">
                  <c:v>157.5</c:v>
                </c:pt>
                <c:pt idx="29">
                  <c:v>168.5</c:v>
                </c:pt>
                <c:pt idx="30">
                  <c:v>180</c:v>
                </c:pt>
                <c:pt idx="31">
                  <c:v>191</c:v>
                </c:pt>
                <c:pt idx="32">
                  <c:v>203</c:v>
                </c:pt>
                <c:pt idx="33">
                  <c:v>215</c:v>
                </c:pt>
                <c:pt idx="34">
                  <c:v>228.5</c:v>
                </c:pt>
                <c:pt idx="35">
                  <c:v>241.5</c:v>
                </c:pt>
                <c:pt idx="36">
                  <c:v>256.5</c:v>
                </c:pt>
                <c:pt idx="37">
                  <c:v>277.5</c:v>
                </c:pt>
                <c:pt idx="38">
                  <c:v>282.5</c:v>
                </c:pt>
                <c:pt idx="39">
                  <c:v>299</c:v>
                </c:pt>
                <c:pt idx="40">
                  <c:v>313.5</c:v>
                </c:pt>
                <c:pt idx="41">
                  <c:v>328.5</c:v>
                </c:pt>
                <c:pt idx="42">
                  <c:v>346</c:v>
                </c:pt>
                <c:pt idx="43">
                  <c:v>360.5</c:v>
                </c:pt>
                <c:pt idx="44">
                  <c:v>379</c:v>
                </c:pt>
                <c:pt idx="45">
                  <c:v>397</c:v>
                </c:pt>
                <c:pt idx="46">
                  <c:v>411</c:v>
                </c:pt>
                <c:pt idx="47">
                  <c:v>428</c:v>
                </c:pt>
                <c:pt idx="48">
                  <c:v>449</c:v>
                </c:pt>
                <c:pt idx="49">
                  <c:v>464</c:v>
                </c:pt>
                <c:pt idx="50">
                  <c:v>482</c:v>
                </c:pt>
                <c:pt idx="51">
                  <c:v>503.5</c:v>
                </c:pt>
              </c:numCache>
            </c:numRef>
          </c:yVal>
        </c:ser>
        <c:ser>
          <c:idx val="1"/>
          <c:order val="1"/>
          <c:tx>
            <c:strRef>
              <c:f>label 3</c:f>
              <c:strCache>
                <c:ptCount val="1"/>
                <c:pt idx="0">
                  <c:v>descending</c:v>
                </c:pt>
              </c:strCache>
            </c:strRef>
          </c:tx>
          <c:spPr>
            <a:solidFill>
              <a:srgbClr val="ff420e"/>
            </a:solidFill>
            <a:ln w="28800">
              <a:solidFill>
                <a:srgbClr val="ff420e"/>
              </a:solidFill>
              <a:round/>
            </a:ln>
          </c:spPr>
          <c:marker>
            <c:symbol val="none"/>
          </c:marker>
          <c:cat>
            <c:strRef>
              <c:f>categories</c:f>
              <c:strCache>
                <c:ptCount val="52"/>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strCache>
            </c:strRef>
          </c:cat>
          <c:xVal>
            <c:numRef>
              <c:f>2</c:f>
              <c:numCache>
                <c:formatCode>General</c:formatCode>
                <c:ptCount val="52"/>
                <c:pt idx="0">
                  <c:v>1000</c:v>
                </c:pt>
                <c:pt idx="1">
                  <c:v>2000</c:v>
                </c:pt>
                <c:pt idx="2">
                  <c:v>3000</c:v>
                </c:pt>
                <c:pt idx="3">
                  <c:v>4000</c:v>
                </c:pt>
                <c:pt idx="4">
                  <c:v>5000</c:v>
                </c:pt>
                <c:pt idx="5">
                  <c:v>6000</c:v>
                </c:pt>
                <c:pt idx="6">
                  <c:v>7000</c:v>
                </c:pt>
                <c:pt idx="7">
                  <c:v>8000</c:v>
                </c:pt>
                <c:pt idx="8">
                  <c:v>9000</c:v>
                </c:pt>
                <c:pt idx="9">
                  <c:v>10000</c:v>
                </c:pt>
                <c:pt idx="10">
                  <c:v>11000</c:v>
                </c:pt>
                <c:pt idx="11">
                  <c:v>12000</c:v>
                </c:pt>
                <c:pt idx="12">
                  <c:v>13000</c:v>
                </c:pt>
                <c:pt idx="13">
                  <c:v>14000</c:v>
                </c:pt>
                <c:pt idx="14">
                  <c:v>15000</c:v>
                </c:pt>
                <c:pt idx="15">
                  <c:v>16000</c:v>
                </c:pt>
                <c:pt idx="16">
                  <c:v>17000</c:v>
                </c:pt>
                <c:pt idx="17">
                  <c:v>18000</c:v>
                </c:pt>
                <c:pt idx="18">
                  <c:v>19000</c:v>
                </c:pt>
                <c:pt idx="19">
                  <c:v>20000</c:v>
                </c:pt>
                <c:pt idx="20">
                  <c:v>21000</c:v>
                </c:pt>
                <c:pt idx="21">
                  <c:v>22000</c:v>
                </c:pt>
                <c:pt idx="22">
                  <c:v>23000</c:v>
                </c:pt>
                <c:pt idx="23">
                  <c:v>24000</c:v>
                </c:pt>
                <c:pt idx="24">
                  <c:v>25000</c:v>
                </c:pt>
                <c:pt idx="25">
                  <c:v>26000</c:v>
                </c:pt>
                <c:pt idx="26">
                  <c:v>27000</c:v>
                </c:pt>
                <c:pt idx="27">
                  <c:v>28000</c:v>
                </c:pt>
                <c:pt idx="28">
                  <c:v>29000</c:v>
                </c:pt>
                <c:pt idx="29">
                  <c:v>30000</c:v>
                </c:pt>
                <c:pt idx="30">
                  <c:v>31000</c:v>
                </c:pt>
                <c:pt idx="31">
                  <c:v>32000</c:v>
                </c:pt>
                <c:pt idx="32">
                  <c:v>33000</c:v>
                </c:pt>
                <c:pt idx="33">
                  <c:v>34000</c:v>
                </c:pt>
                <c:pt idx="34">
                  <c:v>35000</c:v>
                </c:pt>
                <c:pt idx="35">
                  <c:v>36000</c:v>
                </c:pt>
                <c:pt idx="36">
                  <c:v>37000</c:v>
                </c:pt>
                <c:pt idx="37">
                  <c:v>38000</c:v>
                </c:pt>
                <c:pt idx="38">
                  <c:v>39000</c:v>
                </c:pt>
                <c:pt idx="39">
                  <c:v>40000</c:v>
                </c:pt>
                <c:pt idx="40">
                  <c:v>41000</c:v>
                </c:pt>
                <c:pt idx="41">
                  <c:v/>
                </c:pt>
                <c:pt idx="42">
                  <c:v/>
                </c:pt>
                <c:pt idx="43">
                  <c:v/>
                </c:pt>
                <c:pt idx="44">
                  <c:v/>
                </c:pt>
                <c:pt idx="45">
                  <c:v/>
                </c:pt>
                <c:pt idx="46">
                  <c:v/>
                </c:pt>
                <c:pt idx="47">
                  <c:v/>
                </c:pt>
                <c:pt idx="48">
                  <c:v/>
                </c:pt>
                <c:pt idx="49">
                  <c:v/>
                </c:pt>
                <c:pt idx="50">
                  <c:v/>
                </c:pt>
                <c:pt idx="51">
                  <c:v/>
                </c:pt>
              </c:numCache>
            </c:numRef>
          </c:xVal>
          <c:yVal>
            <c:numRef>
              <c:f>3</c:f>
              <c:numCache>
                <c:formatCode>General</c:formatCode>
                <c:ptCount val="52"/>
                <c:pt idx="0">
                  <c:v>3</c:v>
                </c:pt>
                <c:pt idx="1">
                  <c:v>3</c:v>
                </c:pt>
                <c:pt idx="2">
                  <c:v>4.5</c:v>
                </c:pt>
                <c:pt idx="3">
                  <c:v>6</c:v>
                </c:pt>
                <c:pt idx="4">
                  <c:v>14</c:v>
                </c:pt>
                <c:pt idx="5">
                  <c:v>16</c:v>
                </c:pt>
                <c:pt idx="6">
                  <c:v>17.5</c:v>
                </c:pt>
                <c:pt idx="7">
                  <c:v>32</c:v>
                </c:pt>
                <c:pt idx="8">
                  <c:v>26</c:v>
                </c:pt>
                <c:pt idx="9">
                  <c:v>30</c:v>
                </c:pt>
                <c:pt idx="10">
                  <c:v>37</c:v>
                </c:pt>
                <c:pt idx="11">
                  <c:v>44</c:v>
                </c:pt>
                <c:pt idx="12">
                  <c:v>51</c:v>
                </c:pt>
                <c:pt idx="13">
                  <c:v>59</c:v>
                </c:pt>
                <c:pt idx="14">
                  <c:v>68</c:v>
                </c:pt>
                <c:pt idx="15">
                  <c:v>77.5</c:v>
                </c:pt>
                <c:pt idx="16">
                  <c:v>89</c:v>
                </c:pt>
                <c:pt idx="17">
                  <c:v>99.5</c:v>
                </c:pt>
                <c:pt idx="18">
                  <c:v>110</c:v>
                </c:pt>
                <c:pt idx="19">
                  <c:v>118.5</c:v>
                </c:pt>
                <c:pt idx="20">
                  <c:v>131</c:v>
                </c:pt>
                <c:pt idx="21">
                  <c:v>144</c:v>
                </c:pt>
                <c:pt idx="22">
                  <c:v>157</c:v>
                </c:pt>
                <c:pt idx="23">
                  <c:v>171.5</c:v>
                </c:pt>
                <c:pt idx="24">
                  <c:v>185</c:v>
                </c:pt>
                <c:pt idx="25">
                  <c:v>200</c:v>
                </c:pt>
                <c:pt idx="26">
                  <c:v>216.5</c:v>
                </c:pt>
                <c:pt idx="27">
                  <c:v>233</c:v>
                </c:pt>
                <c:pt idx="28">
                  <c:v>249</c:v>
                </c:pt>
                <c:pt idx="29">
                  <c:v>267</c:v>
                </c:pt>
                <c:pt idx="30">
                  <c:v>282.5</c:v>
                </c:pt>
                <c:pt idx="31">
                  <c:v>301</c:v>
                </c:pt>
                <c:pt idx="32">
                  <c:v>322</c:v>
                </c:pt>
                <c:pt idx="33">
                  <c:v>354</c:v>
                </c:pt>
                <c:pt idx="34">
                  <c:v>375</c:v>
                </c:pt>
                <c:pt idx="35">
                  <c:v>396</c:v>
                </c:pt>
                <c:pt idx="36">
                  <c:v>427</c:v>
                </c:pt>
                <c:pt idx="37">
                  <c:v>440</c:v>
                </c:pt>
                <c:pt idx="38">
                  <c:v>464.5</c:v>
                </c:pt>
                <c:pt idx="39">
                  <c:v>486</c:v>
                </c:pt>
                <c:pt idx="40">
                  <c:v>513</c:v>
                </c:pt>
                <c:pt idx="41">
                  <c:v/>
                </c:pt>
                <c:pt idx="42">
                  <c:v/>
                </c:pt>
                <c:pt idx="43">
                  <c:v/>
                </c:pt>
                <c:pt idx="44">
                  <c:v/>
                </c:pt>
                <c:pt idx="45">
                  <c:v/>
                </c:pt>
                <c:pt idx="46">
                  <c:v/>
                </c:pt>
                <c:pt idx="47">
                  <c:v/>
                </c:pt>
                <c:pt idx="48">
                  <c:v/>
                </c:pt>
                <c:pt idx="49">
                  <c:v/>
                </c:pt>
                <c:pt idx="50">
                  <c:v/>
                </c:pt>
                <c:pt idx="51">
                  <c:v/>
                </c:pt>
              </c:numCache>
            </c:numRef>
          </c:yVal>
        </c:ser>
        <c:axId val="85340409"/>
        <c:axId val="76161385"/>
      </c:scatterChart>
      <c:valAx>
        <c:axId val="85340409"/>
        <c:scaling>
          <c:orientation val="minMax"/>
        </c:scaling>
        <c:delete val="0"/>
        <c:axPos val="b"/>
        <c:majorGridlines>
          <c:spPr>
            <a:ln>
              <a:solidFill>
                <a:srgbClr val="b3b3b3"/>
              </a:solidFill>
            </a:ln>
          </c:spPr>
        </c:majorGridlines>
        <c:title>
          <c:tx>
            <c:rich>
              <a:bodyPr/>
              <a:lstStyle/>
              <a:p>
                <a:pPr>
                  <a:defRPr/>
                </a:pPr>
                <a:r>
                  <a:rPr sz="900">
                    <a:latin typeface="Arial"/>
                  </a:rPr>
                  <a:t>n</a:t>
                </a:r>
              </a:p>
            </c:rich>
          </c:tx>
          <c:layout/>
        </c:title>
        <c:majorTickMark val="out"/>
        <c:minorTickMark val="none"/>
        <c:tickLblPos val="nextTo"/>
        <c:spPr>
          <a:ln>
            <a:solidFill>
              <a:srgbClr val="b3b3b3"/>
            </a:solidFill>
          </a:ln>
        </c:spPr>
        <c:crossAx val="76161385"/>
        <c:crossesAt val="0"/>
      </c:valAx>
      <c:valAx>
        <c:axId val="76161385"/>
        <c:scaling>
          <c:orientation val="minMax"/>
        </c:scaling>
        <c:delete val="0"/>
        <c:axPos val="l"/>
        <c:majorGridlines>
          <c:spPr>
            <a:ln>
              <a:solidFill>
                <a:srgbClr val="b3b3b3"/>
              </a:solidFill>
            </a:ln>
          </c:spPr>
        </c:majorGridlines>
        <c:title>
          <c:tx>
            <c:rich>
              <a:bodyPr/>
              <a:lstStyle/>
              <a:p>
                <a:pPr>
                  <a:defRPr/>
                </a:pPr>
                <a:r>
                  <a:rPr sz="900">
                    <a:latin typeface="Arial"/>
                  </a:rPr>
                  <a:t>time [ms]</a:t>
                </a:r>
              </a:p>
            </c:rich>
          </c:tx>
          <c:layout/>
        </c:title>
        <c:majorTickMark val="out"/>
        <c:minorTickMark val="none"/>
        <c:tickLblPos val="nextTo"/>
        <c:spPr>
          <a:ln>
            <a:solidFill>
              <a:srgbClr val="b3b3b3"/>
            </a:solidFill>
          </a:ln>
        </c:spPr>
        <c:crossAx val="85340409"/>
        <c:crossesAt val="0"/>
      </c:valAx>
      <c:spPr>
        <a:noFill/>
        <a:ln>
          <a:solidFill>
            <a:srgbClr val="b3b3b3"/>
          </a:solidFill>
        </a:ln>
      </c:spPr>
    </c:plotArea>
    <c:legend>
      <c:legendPos val="r"/>
      <c:overlay val="0"/>
      <c:spPr>
        <a:noFill/>
        <a:ln>
          <a:noFill/>
        </a:ln>
      </c:spPr>
    </c:legend>
    <c:plotVisOnly val="1"/>
  </c:chart>
  <c:spPr>
    <a:solidFill>
      <a:srgbClr val="ffffff"/>
    </a:solidFill>
    <a:ln>
      <a:noFill/>
    </a:ln>
  </c:spPr>
</c:chartSpace>
</file>

<file path=word/charts/chart5.xml><?xml version="1.0" encoding="utf-8"?>
<c:chartSpace xmlns:c="http://schemas.openxmlformats.org/drawingml/2006/chart" xmlns:a="http://schemas.openxmlformats.org/drawingml/2006/main" xmlns:r="http://schemas.openxmlformats.org/officeDocument/2006/relationships">
  <c:lang val="en-US"/>
  <c:chart>
    <c:title>
      <c:tx>
        <c:rich>
          <a:bodyPr/>
          <a:lstStyle/>
          <a:p>
            <a:pPr>
              <a:defRPr/>
            </a:pPr>
            <a:r>
              <a:rPr b="1" sz="1300">
                <a:latin typeface="Arial"/>
              </a:rPr>
              <a:t>Pivot: Last element</a:t>
            </a:r>
          </a:p>
        </c:rich>
      </c:tx>
      <c:layout/>
    </c:title>
    <c:plotArea>
      <c:layout/>
      <c:scatterChart>
        <c:scatterStyle val="lineMarker"/>
        <c:varyColors val="0"/>
        <c:ser>
          <c:idx val="0"/>
          <c:order val="0"/>
          <c:tx>
            <c:strRef>
              <c:f>label 1</c:f>
              <c:strCache>
                <c:ptCount val="1"/>
                <c:pt idx="0">
                  <c:v>random</c:v>
                </c:pt>
              </c:strCache>
            </c:strRef>
          </c:tx>
          <c:spPr>
            <a:solidFill>
              <a:srgbClr val="004586"/>
            </a:solidFill>
            <a:ln w="28800">
              <a:solidFill>
                <a:srgbClr val="004586"/>
              </a:solidFill>
              <a:round/>
            </a:ln>
          </c:spPr>
          <c:marker>
            <c:symbol val="none"/>
          </c:marker>
          <c:cat>
            <c:strRef>
              <c:f>categories</c:f>
              <c:strCache>
                <c:ptCount val="26"/>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strCache>
            </c:strRef>
          </c:cat>
          <c:xVal>
            <c:numRef>
              <c:f>0</c:f>
              <c:numCache>
                <c:formatCode>General</c:formatCode>
                <c:ptCount val="26"/>
                <c:pt idx="0">
                  <c:v>1000000</c:v>
                </c:pt>
                <c:pt idx="1">
                  <c:v>2000000</c:v>
                </c:pt>
                <c:pt idx="2">
                  <c:v>3000000</c:v>
                </c:pt>
                <c:pt idx="3">
                  <c:v>4000000</c:v>
                </c:pt>
                <c:pt idx="4">
                  <c:v>5000000</c:v>
                </c:pt>
                <c:pt idx="5">
                  <c:v>6000000</c:v>
                </c:pt>
                <c:pt idx="6">
                  <c:v>7000000</c:v>
                </c:pt>
                <c:pt idx="7">
                  <c:v>8000000</c:v>
                </c:pt>
                <c:pt idx="8">
                  <c:v>9000000</c:v>
                </c:pt>
                <c:pt idx="9">
                  <c:v>10000000</c:v>
                </c:pt>
                <c:pt idx="10">
                  <c:v>11000000</c:v>
                </c:pt>
                <c:pt idx="11">
                  <c:v>12000000</c:v>
                </c:pt>
                <c:pt idx="12">
                  <c:v>13000000</c:v>
                </c:pt>
                <c:pt idx="13">
                  <c:v>14000000</c:v>
                </c:pt>
                <c:pt idx="14">
                  <c:v>15000000</c:v>
                </c:pt>
                <c:pt idx="15">
                  <c:v>16000000</c:v>
                </c:pt>
                <c:pt idx="16">
                  <c:v>17000000</c:v>
                </c:pt>
                <c:pt idx="17">
                  <c:v>18000000</c:v>
                </c:pt>
                <c:pt idx="18">
                  <c:v>19000000</c:v>
                </c:pt>
                <c:pt idx="19">
                  <c:v>20000000</c:v>
                </c:pt>
                <c:pt idx="20">
                  <c:v>21000000</c:v>
                </c:pt>
                <c:pt idx="21">
                  <c:v>22000000</c:v>
                </c:pt>
                <c:pt idx="22">
                  <c:v>23000000</c:v>
                </c:pt>
                <c:pt idx="23">
                  <c:v>24000000</c:v>
                </c:pt>
                <c:pt idx="24">
                  <c:v>25000000</c:v>
                </c:pt>
                <c:pt idx="25">
                  <c:v>26000000</c:v>
                </c:pt>
              </c:numCache>
            </c:numRef>
          </c:xVal>
          <c:yVal>
            <c:numRef>
              <c:f>1</c:f>
              <c:numCache>
                <c:formatCode>General</c:formatCode>
                <c:ptCount val="26"/>
                <c:pt idx="0">
                  <c:v>26</c:v>
                </c:pt>
                <c:pt idx="1">
                  <c:v>39.5</c:v>
                </c:pt>
                <c:pt idx="2">
                  <c:v>52</c:v>
                </c:pt>
                <c:pt idx="3">
                  <c:v>69.5</c:v>
                </c:pt>
                <c:pt idx="4">
                  <c:v>92.5</c:v>
                </c:pt>
                <c:pt idx="5">
                  <c:v>106.5</c:v>
                </c:pt>
                <c:pt idx="6">
                  <c:v>126</c:v>
                </c:pt>
                <c:pt idx="7">
                  <c:v>140</c:v>
                </c:pt>
                <c:pt idx="8">
                  <c:v>180</c:v>
                </c:pt>
                <c:pt idx="9">
                  <c:v>193.5</c:v>
                </c:pt>
                <c:pt idx="10">
                  <c:v>217.5</c:v>
                </c:pt>
                <c:pt idx="11">
                  <c:v>228.5</c:v>
                </c:pt>
                <c:pt idx="12">
                  <c:v>256.5</c:v>
                </c:pt>
                <c:pt idx="13">
                  <c:v>266.5</c:v>
                </c:pt>
                <c:pt idx="14">
                  <c:v>288</c:v>
                </c:pt>
                <c:pt idx="15">
                  <c:v>298.5</c:v>
                </c:pt>
                <c:pt idx="16">
                  <c:v>362.5</c:v>
                </c:pt>
                <c:pt idx="17">
                  <c:v>379.5</c:v>
                </c:pt>
                <c:pt idx="18">
                  <c:v>397</c:v>
                </c:pt>
                <c:pt idx="19">
                  <c:v>408.5</c:v>
                </c:pt>
                <c:pt idx="20">
                  <c:v>431</c:v>
                </c:pt>
                <c:pt idx="21">
                  <c:v>447</c:v>
                </c:pt>
                <c:pt idx="22">
                  <c:v>467</c:v>
                </c:pt>
                <c:pt idx="23">
                  <c:v>473</c:v>
                </c:pt>
                <c:pt idx="24">
                  <c:v>491</c:v>
                </c:pt>
                <c:pt idx="25">
                  <c:v>530</c:v>
                </c:pt>
              </c:numCache>
            </c:numRef>
          </c:yVal>
        </c:ser>
        <c:axId val="54803231"/>
        <c:axId val="1075653"/>
      </c:scatterChart>
      <c:valAx>
        <c:axId val="54803231"/>
        <c:scaling>
          <c:orientation val="minMax"/>
        </c:scaling>
        <c:delete val="0"/>
        <c:axPos val="b"/>
        <c:majorGridlines>
          <c:spPr>
            <a:ln>
              <a:solidFill>
                <a:srgbClr val="b3b3b3"/>
              </a:solidFill>
            </a:ln>
          </c:spPr>
        </c:majorGridlines>
        <c:title>
          <c:tx>
            <c:rich>
              <a:bodyPr/>
              <a:lstStyle/>
              <a:p>
                <a:pPr>
                  <a:defRPr/>
                </a:pPr>
                <a:r>
                  <a:rPr b="1" sz="900">
                    <a:latin typeface="Arial"/>
                  </a:rPr>
                  <a:t>n</a:t>
                </a:r>
              </a:p>
            </c:rich>
          </c:tx>
          <c:layout/>
        </c:title>
        <c:majorTickMark val="out"/>
        <c:minorTickMark val="none"/>
        <c:tickLblPos val="nextTo"/>
        <c:spPr>
          <a:ln>
            <a:solidFill>
              <a:srgbClr val="b3b3b3"/>
            </a:solidFill>
          </a:ln>
        </c:spPr>
        <c:crossAx val="1075653"/>
        <c:crossesAt val="0"/>
      </c:valAx>
      <c:valAx>
        <c:axId val="1075653"/>
        <c:scaling>
          <c:orientation val="minMax"/>
        </c:scaling>
        <c:delete val="0"/>
        <c:axPos val="l"/>
        <c:majorGridlines>
          <c:spPr>
            <a:ln>
              <a:solidFill>
                <a:srgbClr val="b3b3b3"/>
              </a:solidFill>
            </a:ln>
          </c:spPr>
        </c:majorGridlines>
        <c:title>
          <c:tx>
            <c:rich>
              <a:bodyPr/>
              <a:lstStyle/>
              <a:p>
                <a:pPr>
                  <a:defRPr/>
                </a:pPr>
                <a:r>
                  <a:rPr b="1" sz="900">
                    <a:latin typeface="Arial"/>
                  </a:rPr>
                  <a:t>time [ms]</a:t>
                </a:r>
              </a:p>
            </c:rich>
          </c:tx>
          <c:layout/>
        </c:title>
        <c:majorTickMark val="out"/>
        <c:minorTickMark val="none"/>
        <c:tickLblPos val="nextTo"/>
        <c:spPr>
          <a:ln>
            <a:solidFill>
              <a:srgbClr val="b3b3b3"/>
            </a:solidFill>
          </a:ln>
        </c:spPr>
        <c:crossAx val="54803231"/>
        <c:crossesAt val="0"/>
      </c:valAx>
      <c:spPr>
        <a:noFill/>
        <a:ln>
          <a:solidFill>
            <a:srgbClr val="b3b3b3"/>
          </a:solidFill>
        </a:ln>
      </c:spPr>
    </c:plotArea>
    <c:legend>
      <c:legendPos val="r"/>
      <c:overlay val="0"/>
      <c:spPr>
        <a:noFill/>
        <a:ln>
          <a:noFill/>
        </a:ln>
      </c:spPr>
    </c:legend>
    <c:plotVisOnly val="1"/>
  </c:chart>
  <c:spPr>
    <a:solidFill>
      <a:srgbClr val="ffffff"/>
    </a:solidFill>
    <a:ln>
      <a:noFill/>
    </a:ln>
  </c:spPr>
</c:chartSpace>
</file>

<file path=docProps/app.xml><?xml version="1.0" encoding="utf-8"?>
<Properties xmlns="http://schemas.openxmlformats.org/officeDocument/2006/extended-properties" xmlns:vt="http://schemas.openxmlformats.org/officeDocument/2006/docPropsVTypes">
  <TotalTime>431</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2015-10-21T19:41:07Z</dcterms:created>
  <dc:language>en-US</dc:language>
  <dcterms:modified xsi:type="dcterms:W3CDTF">2015-10-21T20:55:14Z</dcterms:modified>
  <cp:revision>2</cp:revision>
</cp:coreProperties>
</file>