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Reimbursement Policy</w:t>
      </w:r>
    </w:p>
    <w:p>
      <w:r>
        <w:t>Nimbus Technologies Pvt. Ltd. · Version 2027 · Effective 1 April 2027</w:t>
      </w:r>
    </w:p>
    <w:p>
      <w:r>
        <w:t>Sample document for testing. Nimbus Technologies is a fictional company.</w:t>
      </w:r>
    </w:p>
    <w:p>
      <w:pPr>
        <w:pStyle w:val="Heading1"/>
      </w:pPr>
      <w:r>
        <w:t>1. Purpose</w:t>
      </w:r>
    </w:p>
    <w:p>
      <w:r>
        <w:t>This policy covers travel undertaken for official company work and explains which expenses are reimbursed and at what rates.</w:t>
      </w:r>
    </w:p>
    <w:p>
      <w:pPr>
        <w:pStyle w:val="Heading1"/>
      </w:pPr>
      <w:r>
        <w:t>2. Travel Approval</w:t>
      </w:r>
    </w:p>
    <w:p>
      <w:r>
        <w:t>All official travel must be approved in advance by the reporting manager through the HR portal. International travel also requires approval from the department head. Expenses for unapproved travel will not be reimbursed.</w:t>
      </w:r>
    </w:p>
    <w:p>
      <w:pPr>
        <w:pStyle w:val="Heading1"/>
      </w:pPr>
      <w:r>
        <w:t>3. Mode of Travel</w:t>
      </w:r>
    </w:p>
    <w:p>
      <w:r>
        <w:t>The permitted class of travel depends on the employee's grade, as shown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Grade</w:t>
            </w:r>
          </w:p>
        </w:tc>
        <w:tc>
          <w:tcPr>
            <w:tcW w:type="dxa" w:w="2880"/>
          </w:tcPr>
          <w:p>
            <w:r>
              <w:t>Air</w:t>
            </w:r>
          </w:p>
        </w:tc>
        <w:tc>
          <w:tcPr>
            <w:tcW w:type="dxa" w:w="2880"/>
          </w:tcPr>
          <w:p>
            <w:r>
              <w:t>Train</w:t>
            </w:r>
          </w:p>
        </w:tc>
      </w:tr>
      <w:tr>
        <w:tc>
          <w:tcPr>
            <w:tcW w:type="dxa" w:w="2880"/>
          </w:tcPr>
          <w:p>
            <w:r>
              <w:t>L1 to L3</w:t>
            </w:r>
          </w:p>
        </w:tc>
        <w:tc>
          <w:tcPr>
            <w:tcW w:type="dxa" w:w="2880"/>
          </w:tcPr>
          <w:p>
            <w:r>
              <w:t>Economy</w:t>
            </w:r>
          </w:p>
        </w:tc>
        <w:tc>
          <w:tcPr>
            <w:tcW w:type="dxa" w:w="2880"/>
          </w:tcPr>
          <w:p>
            <w:r>
              <w:t>AC 3-tier</w:t>
            </w:r>
          </w:p>
        </w:tc>
      </w:tr>
      <w:tr>
        <w:tc>
          <w:tcPr>
            <w:tcW w:type="dxa" w:w="2880"/>
          </w:tcPr>
          <w:p>
            <w:r>
              <w:t>L4 to L5</w:t>
            </w:r>
          </w:p>
        </w:tc>
        <w:tc>
          <w:tcPr>
            <w:tcW w:type="dxa" w:w="2880"/>
          </w:tcPr>
          <w:p>
            <w:r>
              <w:t>Economy</w:t>
            </w:r>
          </w:p>
        </w:tc>
        <w:tc>
          <w:tcPr>
            <w:tcW w:type="dxa" w:w="2880"/>
          </w:tcPr>
          <w:p>
            <w:r>
              <w:t>AC 2-tier</w:t>
            </w:r>
          </w:p>
        </w:tc>
      </w:tr>
      <w:tr>
        <w:tc>
          <w:tcPr>
            <w:tcW w:type="dxa" w:w="2880"/>
          </w:tcPr>
          <w:p>
            <w:r>
              <w:t>L6 and above</w:t>
            </w:r>
          </w:p>
        </w:tc>
        <w:tc>
          <w:tcPr>
            <w:tcW w:type="dxa" w:w="2880"/>
          </w:tcPr>
          <w:p>
            <w:r>
              <w:t>Economy (Business above 6 hours)</w:t>
            </w:r>
          </w:p>
        </w:tc>
        <w:tc>
          <w:tcPr>
            <w:tcW w:type="dxa" w:w="2880"/>
          </w:tcPr>
          <w:p>
            <w:r>
              <w:t>AC 1st class</w:t>
            </w:r>
          </w:p>
        </w:tc>
      </w:tr>
    </w:tbl>
    <w:p>
      <w:pPr>
        <w:pStyle w:val="Heading1"/>
      </w:pPr>
      <w:r>
        <w:t>4. Own Vehicle Mileage</w:t>
      </w:r>
    </w:p>
    <w:p>
      <w:r>
        <w:t>Employees who use their own vehicle for official travel are reimbursed per kilometre at the rates below. The distance must be supported by a map printout or GPS log.</w:t>
      </w:r>
    </w:p>
    <w:tbl>
      <w:tblPr>
        <w:tblStyle w:val="TableGrid"/>
        <w:tblW w:type="auto" w:w="0"/>
        <w:tblLook w:firstColumn="1" w:firstRow="1" w:lastColumn="0" w:lastRow="0" w:noHBand="0" w:noVBand="1" w:val="04A0"/>
      </w:tblPr>
      <w:tblGrid>
        <w:gridCol w:w="4320"/>
        <w:gridCol w:w="4320"/>
      </w:tblGrid>
      <w:tr>
        <w:tc>
          <w:tcPr>
            <w:tcW w:type="dxa" w:w="4320"/>
          </w:tcPr>
          <w:p>
            <w:r>
              <w:t>Vehicle</w:t>
            </w:r>
          </w:p>
        </w:tc>
        <w:tc>
          <w:tcPr>
            <w:tcW w:type="dxa" w:w="4320"/>
          </w:tcPr>
          <w:p>
            <w:r>
              <w:t>Rate per km</w:t>
            </w:r>
          </w:p>
        </w:tc>
      </w:tr>
      <w:tr>
        <w:tc>
          <w:tcPr>
            <w:tcW w:type="dxa" w:w="4320"/>
          </w:tcPr>
          <w:p>
            <w:r>
              <w:t>Four-wheeler</w:t>
            </w:r>
          </w:p>
        </w:tc>
        <w:tc>
          <w:tcPr>
            <w:tcW w:type="dxa" w:w="4320"/>
          </w:tcPr>
          <w:p>
            <w:r>
              <w:t>Rs. 14</w:t>
            </w:r>
          </w:p>
        </w:tc>
      </w:tr>
      <w:tr>
        <w:tc>
          <w:tcPr>
            <w:tcW w:type="dxa" w:w="4320"/>
          </w:tcPr>
          <w:p>
            <w:r>
              <w:t>Two-wheeler</w:t>
            </w:r>
          </w:p>
        </w:tc>
        <w:tc>
          <w:tcPr>
            <w:tcW w:type="dxa" w:w="4320"/>
          </w:tcPr>
          <w:p>
            <w:r>
              <w:t>Rs. 6</w:t>
            </w:r>
          </w:p>
        </w:tc>
      </w:tr>
      <w:tr>
        <w:tc>
          <w:tcPr>
            <w:tcW w:type="dxa" w:w="4320"/>
          </w:tcPr>
          <w:p>
            <w:r>
              <w:t>Electric vehicle (any)</w:t>
            </w:r>
          </w:p>
        </w:tc>
        <w:tc>
          <w:tcPr>
            <w:tcW w:type="dxa" w:w="4320"/>
          </w:tcPr>
          <w:p>
            <w:r>
              <w:t>Rs. 8</w:t>
            </w:r>
          </w:p>
        </w:tc>
      </w:tr>
    </w:tbl>
    <w:p>
      <w:r>
        <w:t>Tolls and parking charges are reimbursed at actuals against receipts and are paid in addition to the per-km rate.</w:t>
      </w:r>
    </w:p>
    <w:p>
      <w:pPr>
        <w:pStyle w:val="Heading1"/>
      </w:pPr>
      <w:r>
        <w:t>5. Daily Allowance</w:t>
      </w:r>
    </w:p>
    <w:p>
      <w:r>
        <w:t>A daily allowance covers meals and local incidental expenses. It is paid per full day of travel, and half the rate is paid for a travel day of less than 12 hours.</w:t>
      </w:r>
    </w:p>
    <w:tbl>
      <w:tblPr>
        <w:tblStyle w:val="TableGrid"/>
        <w:tblW w:type="auto" w:w="0"/>
        <w:tblLook w:firstColumn="1" w:firstRow="1" w:lastColumn="0" w:lastRow="0" w:noHBand="0" w:noVBand="1" w:val="04A0"/>
      </w:tblPr>
      <w:tblGrid>
        <w:gridCol w:w="4320"/>
        <w:gridCol w:w="4320"/>
      </w:tblGrid>
      <w:tr>
        <w:tc>
          <w:tcPr>
            <w:tcW w:type="dxa" w:w="4320"/>
          </w:tcPr>
          <w:p>
            <w:r>
              <w:t>City category</w:t>
            </w:r>
          </w:p>
        </w:tc>
        <w:tc>
          <w:tcPr>
            <w:tcW w:type="dxa" w:w="4320"/>
          </w:tcPr>
          <w:p>
            <w:r>
              <w:t>Daily allowance</w:t>
            </w:r>
          </w:p>
        </w:tc>
      </w:tr>
      <w:tr>
        <w:tc>
          <w:tcPr>
            <w:tcW w:type="dxa" w:w="4320"/>
          </w:tcPr>
          <w:p>
            <w:r>
              <w:t>Metro (Mumbai, Delhi, Bengaluru, Chennai, Kolkata, Hyderabad)</w:t>
            </w:r>
          </w:p>
        </w:tc>
        <w:tc>
          <w:tcPr>
            <w:tcW w:type="dxa" w:w="4320"/>
          </w:tcPr>
          <w:p>
            <w:r>
              <w:t>Rs. 3,000</w:t>
            </w:r>
          </w:p>
        </w:tc>
      </w:tr>
      <w:tr>
        <w:tc>
          <w:tcPr>
            <w:tcW w:type="dxa" w:w="4320"/>
          </w:tcPr>
          <w:p>
            <w:r>
              <w:t>Other cities</w:t>
            </w:r>
          </w:p>
        </w:tc>
        <w:tc>
          <w:tcPr>
            <w:tcW w:type="dxa" w:w="4320"/>
          </w:tcPr>
          <w:p>
            <w:r>
              <w:t>Rs. 2,000</w:t>
            </w:r>
          </w:p>
        </w:tc>
      </w:tr>
      <w:tr>
        <w:tc>
          <w:tcPr>
            <w:tcW w:type="dxa" w:w="4320"/>
          </w:tcPr>
          <w:p>
            <w:r>
              <w:t>International</w:t>
            </w:r>
          </w:p>
        </w:tc>
        <w:tc>
          <w:tcPr>
            <w:tcW w:type="dxa" w:w="4320"/>
          </w:tcPr>
          <w:p>
            <w:r>
              <w:t>USD 75</w:t>
            </w:r>
          </w:p>
        </w:tc>
      </w:tr>
    </w:tbl>
    <w:p>
      <w:pPr>
        <w:pStyle w:val="Heading1"/>
      </w:pPr>
      <w:r>
        <w:t>6. Hotel Accommodation</w:t>
      </w:r>
    </w:p>
    <w:p>
      <w:r>
        <w:t>Hotel stays are reimbursed up to Rs. 6,000 per night in metro cities and Rs. 4,000 per night in other cities. Stays booked through the company travel desk are billed directly and do not need to be claimed.</w:t>
      </w:r>
    </w:p>
    <w:p>
      <w:pPr>
        <w:pStyle w:val="Heading1"/>
      </w:pPr>
      <w:r>
        <w:t>7. Claim Submission</w:t>
      </w:r>
    </w:p>
    <w:p>
      <w:r>
        <w:t>Claims must be submitted in the HR portal within 45 days of returning from travel, with original receipts for all expenses above Rs. 500. Claims submitted after 45 days require department head approval.</w:t>
      </w:r>
    </w:p>
    <w:p>
      <w:r>
        <w:t>Approved claims are paid with the next monthly payroll cycle.</w:t>
      </w:r>
    </w:p>
    <w:p>
      <w:pPr>
        <w:pStyle w:val="Heading1"/>
      </w:pPr>
      <w:r>
        <w:t>8. Non-Reimbursable Expenses</w:t>
      </w:r>
    </w:p>
    <w:p>
      <w:r>
        <w:t>Alcohol, personal entertainment, fines for traffic violations, and expenses for accompanying family members are not reimbursed.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