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 Management Standard</w:t>
      </w:r>
    </w:p>
    <w:p>
      <w:r>
        <w:t>Document owner: Engineering Operations</w:t>
      </w:r>
    </w:p>
    <w:p>
      <w:r>
        <w:t>Review frequency: Annual</w:t>
      </w:r>
    </w:p>
    <w:p>
      <w:r>
        <w:t>Classification: Internal</w:t>
      </w:r>
    </w:p>
    <w:p/>
    <w:p>
      <w:r>
        <w:t>Purpose</w:t>
      </w:r>
    </w:p>
    <w:p>
      <w:r>
        <w:t>Ensure production changes are reviewed, attributable, and recoverable.</w:t>
      </w:r>
    </w:p>
    <w:p/>
    <w:p>
      <w:r>
        <w:t>Scope</w:t>
      </w:r>
    </w:p>
    <w:p>
      <w:r>
        <w:t>Applies to application code, infrastructure, database schema, prompts, retrieval configuration, and permission logic.</w:t>
      </w:r>
    </w:p>
    <w:p/>
    <w:p>
      <w:r>
        <w:t>Definitions</w:t>
      </w:r>
    </w:p>
    <w:p>
      <w:r>
        <w:t>Control owner: the role accountable for implementation and evidence.</w:t>
      </w:r>
    </w:p>
    <w:p>
      <w:r>
        <w:t>Exception: a documented, approved, and time-bounded deviation.</w:t>
      </w:r>
    </w:p>
    <w:p/>
    <w:p>
      <w:r>
        <w:t>Roles and responsibilities</w:t>
      </w:r>
    </w:p>
    <w:p>
      <w:r>
        <w:t>The change owner documents intended behavior.</w:t>
      </w:r>
    </w:p>
    <w:p>
      <w:r>
        <w:t>A peer reviews implementation and test evidence.</w:t>
      </w:r>
    </w:p>
    <w:p>
      <w:r>
        <w:t>Operations coordinates release and rollback.</w:t>
      </w:r>
    </w:p>
    <w:p/>
    <w:p>
      <w:r>
        <w:t>Mandatory rules</w:t>
      </w:r>
    </w:p>
    <w:p>
      <w:r>
        <w:t>Changes use version-controlled source.</w:t>
      </w:r>
    </w:p>
    <w:p>
      <w:r>
        <w:t>Security-sensitive changes include authorization regression tests.</w:t>
      </w:r>
    </w:p>
    <w:p>
      <w:r>
        <w:t>Database changes include compatibility and recovery considerations.</w:t>
      </w:r>
    </w:p>
    <w:p>
      <w:r>
        <w:t>Prompt changes do not weaken the authorized-context boundary.</w:t>
      </w:r>
    </w:p>
    <w:p>
      <w:r>
        <w:t>Emergency changes receive retrospective review.</w:t>
      </w:r>
    </w:p>
    <w:p/>
    <w:p>
      <w:r>
        <w:t>Operating procedure</w:t>
      </w:r>
    </w:p>
    <w:p>
      <w:r>
        <w:t>Describe scope, risk, dependencies, and rollback.</w:t>
      </w:r>
    </w:p>
    <w:p>
      <w:r>
        <w:t>Run focused tests and required suite checks.</w:t>
      </w:r>
    </w:p>
    <w:p>
      <w:r>
        <w:t>Obtain required peer and security approval.</w:t>
      </w:r>
    </w:p>
    <w:p>
      <w:r>
        <w:t>Deploy using the approved pipeline and monitor health.</w:t>
      </w:r>
    </w:p>
    <w:p>
      <w:r>
        <w:t>Close with test, deployment, and rollback evidence.</w:t>
      </w:r>
    </w:p>
    <w:p/>
    <w:p>
      <w:r>
        <w:t>Examples</w:t>
      </w:r>
    </w:p>
    <w:p>
      <w:r>
        <w:t>A retrieval top-k experiment stays in evaluation unless production approval is granted.</w:t>
      </w:r>
    </w:p>
    <w:p>
      <w:r>
        <w:t>A permission change is tested against allowed and denied cases.</w:t>
      </w:r>
    </w:p>
    <w:p/>
    <w:p>
      <w:r>
        <w:t>Exceptions</w:t>
      </w:r>
    </w:p>
    <w:p>
      <w:r>
        <w:t>Emergency changes identify an incident, owner, time limit, and reviewer.</w:t>
      </w:r>
    </w:p>
    <w:p>
      <w:r>
        <w:t>A failed deployment triggers rollback or documented containment.</w:t>
      </w:r>
    </w:p>
    <w:p/>
    <w:p>
      <w:r>
        <w:t>Audit evidence and review</w:t>
      </w:r>
    </w:p>
    <w:p>
      <w:r>
        <w:t>Retain reviewer, commit, build, deployment, and outcome identifiers.</w:t>
      </w:r>
    </w:p>
    <w:p>
      <w:r>
        <w:t>Review failed changes and emergency releases monthly.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