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Secretaria Municipal de Desenvolvimento, Ciência, Tecnologia e Inovação</w:t>
      </w:r>
    </w:p>
    <w:p>
      <w:r>
        <w:rPr>
          <w:b/>
        </w:rPr>
        <w:t>Relatório Socioeconômico – Governador Valadares/MG</w:t>
      </w:r>
      <w:r>
        <w:br/>
        <w:t>Período de Análise: 2000 a 2026</w:t>
      </w:r>
      <w:r>
        <w:br/>
        <w:t>Data de Emissão: 05/02/2026 10:54</w:t>
      </w:r>
    </w:p>
    <w:p>
      <w:pPr>
        <w:pStyle w:val="Heading1"/>
      </w:pPr>
      <w:r>
        <w:t>1. Nota Metodológica (Estimativa do PIB)</w:t>
      </w:r>
    </w:p>
    <w:p>
      <w:r>
        <w:t>A estimativa do Produto Interno Bruto Municipal foi elaborada a partir de metodologia híbrida, combinando o último dado oficial publicado pelo IBGE com proxies econômicos atualizados, tais como Valor Adicionado Fiscal (SEFAZ-MG), Massa Salarial (RAIS/CAGED) e arrecadação do ISS. A projeção foi realizada por meio de modelos de séries temporais, garantindo coerência estatística e aderência à dinâmica econômica local.</w:t>
      </w:r>
    </w:p>
    <w:p>
      <w:pPr>
        <w:pStyle w:val="Heading1"/>
      </w:pPr>
      <w:r>
        <w:t>2. Projeções de Curto Prazo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Ano</w:t>
            </w:r>
          </w:p>
        </w:tc>
        <w:tc>
          <w:tcPr>
            <w:tcW w:type="dxa" w:w="2880"/>
          </w:tcPr>
          <w:p>
            <w:r>
              <w:t>Valor Estimado (R$ mil)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8,69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9,09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9,48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</w:tbl>
    <w:p>
      <w:pPr>
        <w:pStyle w:val="Heading1"/>
      </w:pPr>
      <w:r>
        <w:t>3. Análise Detalhada por Indicador</w:t>
      </w:r>
    </w:p>
    <w:p>
      <w:pPr>
        <w:pStyle w:val="Heading1"/>
      </w:pPr>
      <w:r>
        <w:t>Fonte: IBGE</w:t>
      </w:r>
    </w:p>
    <w:p>
      <w:pPr>
        <w:pStyle w:val="Heading2"/>
      </w:pPr>
      <w:r>
        <w:t>GINI (IBGE)</w:t>
      </w:r>
    </w:p>
    <w:p>
      <w:r>
        <w:t>Análise de Tendência: Queda moderada (-13.6%)</w:t>
      </w:r>
    </w:p>
    <w:p>
      <w:r>
        <w:t>No período de 2000 a 2010, o indicador apresentou **queda moderada**. A variação total foi de **-13.6%**, com uma taxa anual média (CAGR) de **-1.4%**. O valor saiu de 0,62 para 0,54.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2000</w:t>
            </w:r>
          </w:p>
        </w:tc>
        <w:tc>
          <w:tcPr>
            <w:tcW w:type="dxa" w:w="4320"/>
          </w:tcPr>
          <w:p>
            <w:r>
              <w:t>0,62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0,54</w:t>
            </w:r>
          </w:p>
        </w:tc>
      </w:tr>
    </w:tbl>
    <w:p>
      <w:r>
        <w:br/>
      </w:r>
    </w:p>
    <w:p>
      <w:pPr>
        <w:pStyle w:val="Heading1"/>
      </w:pPr>
      <w:r>
        <w:t>Fonte: MANUAL_CSV</w:t>
      </w:r>
    </w:p>
    <w:p>
      <w:pPr>
        <w:pStyle w:val="Heading2"/>
      </w:pPr>
      <w:r>
        <w:t>GINI (MANUAL_CSV)</w:t>
      </w:r>
    </w:p>
    <w:p>
      <w:r>
        <w:t>Análise de Tendência: Queda moderada (-13.6%)</w:t>
      </w:r>
    </w:p>
    <w:p>
      <w:r>
        <w:t>No período de 2000 a 2010, o indicador apresentou **queda moderada**. A variação total foi de **-13.6%**, com uma taxa anual média (CAGR) de **-1.4%**. O valor saiu de 0,62 para 0,54.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2000</w:t>
            </w:r>
          </w:p>
        </w:tc>
        <w:tc>
          <w:tcPr>
            <w:tcW w:type="dxa" w:w="4320"/>
          </w:tcPr>
          <w:p>
            <w:r>
              <w:t>0,62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0,54</w:t>
            </w:r>
          </w:p>
        </w:tc>
      </w:tr>
    </w:tbl>
    <w:p>
      <w:r>
        <w:br/>
      </w:r>
    </w:p>
    <w:p>
      <w:pPr>
        <w:pStyle w:val="Heading1"/>
      </w:pPr>
      <w:r>
        <w:t>Fonte: ATLAS_BRASIL</w:t>
      </w:r>
    </w:p>
    <w:p>
      <w:pPr>
        <w:pStyle w:val="Heading2"/>
      </w:pPr>
      <w:r>
        <w:t>IDHM (ATLAS_BRASIL)</w:t>
      </w:r>
    </w:p>
    <w:p>
      <w:r>
        <w:t>Análise de Tendência: Crescimento moderado (+14.5%)</w:t>
      </w:r>
    </w:p>
    <w:p>
      <w:r>
        <w:t>No período de 2000 a 2010, o indicador apresentou **crescimento moderado**. A variação total foi de **+14.5%**, com uma taxa anual média (CAGR) de **1.4%**. O valor saiu de 0,64 para 0,73.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2000</w:t>
            </w:r>
          </w:p>
        </w:tc>
        <w:tc>
          <w:tcPr>
            <w:tcW w:type="dxa" w:w="4320"/>
          </w:tcPr>
          <w:p>
            <w:r>
              <w:t>0,64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0,73</w:t>
            </w:r>
          </w:p>
        </w:tc>
      </w:tr>
    </w:tbl>
    <w:p>
      <w:r>
        <w:br/>
      </w:r>
    </w:p>
    <w:p>
      <w:pPr>
        <w:pStyle w:val="Heading1"/>
      </w:pPr>
      <w:r>
        <w:t>Fonte: MANUAL_CSV</w:t>
      </w:r>
    </w:p>
    <w:p>
      <w:pPr>
        <w:pStyle w:val="Heading2"/>
      </w:pPr>
      <w:r>
        <w:t>IDHM (MANUAL_CSV)</w:t>
      </w:r>
    </w:p>
    <w:p>
      <w:r>
        <w:t>Análise de Tendência: Crescimento moderado (+14.5%)</w:t>
      </w:r>
    </w:p>
    <w:p>
      <w:r>
        <w:t>No período de 2000 a 2010, o indicador apresentou **crescimento moderado**. A variação total foi de **+14.5%**, com uma taxa anual média (CAGR) de **1.4%**. O valor saiu de 0,64 para 0,73.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2000</w:t>
            </w:r>
          </w:p>
        </w:tc>
        <w:tc>
          <w:tcPr>
            <w:tcW w:type="dxa" w:w="4320"/>
          </w:tcPr>
          <w:p>
            <w:r>
              <w:t>0,64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0,73</w:t>
            </w:r>
          </w:p>
        </w:tc>
      </w:tr>
    </w:tbl>
    <w:p>
      <w:r>
        <w:br/>
      </w:r>
    </w:p>
    <w:p>
      <w:pPr>
        <w:pStyle w:val="Heading1"/>
      </w:pPr>
      <w:r>
        <w:t>Fonte: IBGE</w:t>
      </w:r>
    </w:p>
    <w:p>
      <w:pPr>
        <w:pStyle w:val="Heading1"/>
      </w:pPr>
      <w:r>
        <w:t>Fonte: PROJECAO_INTERNA</w:t>
      </w:r>
    </w:p>
    <w:p>
      <w:pPr>
        <w:pStyle w:val="Heading2"/>
      </w:pPr>
      <w:r>
        <w:t>PIB_ESTIMADO (PROJECAO_INTERNA)</w:t>
      </w:r>
    </w:p>
    <w:p>
      <w:r>
        <w:t>Análise de Tendência: Crescimento moderado (+9.0%)</w:t>
      </w:r>
    </w:p>
    <w:p>
      <w:r>
        <w:t>No período de 2024 a 2026, o indicador apresentou **crescimento moderado**. A variação total foi de **+9.0%**, com uma taxa anual média (CAGR) de **4.4%**. O valor saiu de 8.692.949,95 para 9.479.618,29.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8,69 mi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9,09 mi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9,48 mi</w:t>
            </w:r>
          </w:p>
        </w:tc>
      </w:tr>
    </w:tbl>
    <w:p>
      <w:r>
        <w:br/>
      </w:r>
    </w:p>
    <w:p>
      <w:pPr>
        <w:pStyle w:val="Heading1"/>
      </w:pPr>
      <w:r>
        <w:t>Fonte: IBGE</w:t>
      </w:r>
    </w:p>
    <w:p>
      <w:pPr>
        <w:pStyle w:val="Heading2"/>
      </w:pPr>
      <w:r>
        <w:t>PIB_TOTAL (IBGE)</w:t>
      </w:r>
    </w:p>
    <w:p>
      <w:r>
        <w:t>Análise de Tendência: Crescimento forte (+490.0%)</w:t>
      </w:r>
    </w:p>
    <w:p>
      <w:r>
        <w:t>No período de 2002 a 2023, o indicador apresentou **crescimento forte**. A variação total foi de **+490.0%**, com uma taxa anual média (CAGR) de **8.8%**. O valor saiu de 1.459.769,00 para 8.612.266,00.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2002</w:t>
            </w:r>
          </w:p>
        </w:tc>
        <w:tc>
          <w:tcPr>
            <w:tcW w:type="dxa" w:w="4320"/>
          </w:tcPr>
          <w:p>
            <w:r>
              <w:t>1,46 mi</w:t>
            </w:r>
          </w:p>
        </w:tc>
      </w:tr>
      <w:tr>
        <w:tc>
          <w:tcPr>
            <w:tcW w:type="dxa" w:w="4320"/>
          </w:tcPr>
          <w:p>
            <w:r>
              <w:t>2003</w:t>
            </w:r>
          </w:p>
        </w:tc>
        <w:tc>
          <w:tcPr>
            <w:tcW w:type="dxa" w:w="4320"/>
          </w:tcPr>
          <w:p>
            <w:r>
              <w:t>1,68 mi</w:t>
            </w:r>
          </w:p>
        </w:tc>
      </w:tr>
      <w:tr>
        <w:tc>
          <w:tcPr>
            <w:tcW w:type="dxa" w:w="4320"/>
          </w:tcPr>
          <w:p>
            <w:r>
              <w:t>2004</w:t>
            </w:r>
          </w:p>
        </w:tc>
        <w:tc>
          <w:tcPr>
            <w:tcW w:type="dxa" w:w="4320"/>
          </w:tcPr>
          <w:p>
            <w:r>
              <w:t>1,83 mi</w:t>
            </w:r>
          </w:p>
        </w:tc>
      </w:tr>
      <w:tr>
        <w:tc>
          <w:tcPr>
            <w:tcW w:type="dxa" w:w="4320"/>
          </w:tcPr>
          <w:p>
            <w:r>
              <w:t>2005</w:t>
            </w:r>
          </w:p>
        </w:tc>
        <w:tc>
          <w:tcPr>
            <w:tcW w:type="dxa" w:w="4320"/>
          </w:tcPr>
          <w:p>
            <w:r>
              <w:t>1,98 mi</w:t>
            </w:r>
          </w:p>
        </w:tc>
      </w:tr>
      <w:tr>
        <w:tc>
          <w:tcPr>
            <w:tcW w:type="dxa" w:w="4320"/>
          </w:tcPr>
          <w:p>
            <w:r>
              <w:t>2006</w:t>
            </w:r>
          </w:p>
        </w:tc>
        <w:tc>
          <w:tcPr>
            <w:tcW w:type="dxa" w:w="4320"/>
          </w:tcPr>
          <w:p>
            <w:r>
              <w:t>2,23 mi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2,50 mi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2,61 mi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3,03 mi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3,45 mi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3,72 mi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4,08 mi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4,59 mi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5,03 mi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5,44 mi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5,66 mi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5,89 mi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6,22 mi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6,77 mi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6,74 mi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7,38 mi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8,03 mi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8,61 mi</w:t>
            </w:r>
          </w:p>
        </w:tc>
      </w:tr>
    </w:tbl>
    <w:p>
      <w:r>
        <w:br/>
      </w:r>
    </w:p>
    <w:p>
      <w:pPr>
        <w:pStyle w:val="Heading2"/>
      </w:pPr>
      <w:r>
        <w:t>POPULACAO (IBGE)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257.171,00</w:t>
            </w:r>
          </w:p>
        </w:tc>
      </w:tr>
    </w:tbl>
    <w:p>
      <w:r>
        <w:br/>
      </w:r>
    </w:p>
    <w:p>
      <w:pPr>
        <w:pStyle w:val="Heading1"/>
      </w:pPr>
      <w:r>
        <w:t>Fonte: IBGE/SIDRA</w:t>
      </w:r>
    </w:p>
    <w:p>
      <w:pPr>
        <w:pStyle w:val="Heading1"/>
      </w:pPr>
      <w:r>
        <w:t>Fonte: CAGED_MANUAL_MG</w:t>
      </w:r>
    </w:p>
    <w:p>
      <w:pPr>
        <w:pStyle w:val="Heading2"/>
      </w:pPr>
      <w:r>
        <w:t>SALDO_CAGED_ANUAL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155,00</w:t>
            </w:r>
          </w:p>
        </w:tc>
      </w:tr>
    </w:tbl>
    <w:p>
      <w:r>
        <w:br/>
      </w:r>
    </w:p>
    <w:p>
      <w:pPr>
        <w:pStyle w:val="Heading2"/>
      </w:pPr>
      <w:r>
        <w:t>SALDO_CAGED_MENSAL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161,00</w:t>
            </w:r>
          </w:p>
        </w:tc>
      </w:tr>
    </w:tbl>
    <w:p>
      <w:r>
        <w:br/>
      </w:r>
    </w:p>
    <w:p>
      <w:r>
        <w:t>------------------------------</w:t>
      </w:r>
    </w:p>
    <w:p>
      <w:r>
        <w:t>Observatório Socioeconômico de Governador Valadares - Documento gerado automaticamente.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