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JusticeCompass Results for the Paper</w:t>
      </w:r>
    </w:p>
    <w:p>
      <w:r>
        <w:t>This section reports only repository-backed, verified results. No final held-out retrieval benchmark was executed in the current codebase, so the values below remain implementation and coverage results rather than publication-ready benchmark metrics.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Evaluation unit</w:t>
            </w:r>
          </w:p>
        </w:tc>
        <w:tc>
          <w:tcPr>
            <w:tcW w:type="dxa" w:w="2880"/>
          </w:tcPr>
          <w:p>
            <w:r>
              <w:t>Verified result</w:t>
            </w:r>
          </w:p>
        </w:tc>
      </w:tr>
      <w:tr>
        <w:tc>
          <w:tcPr>
            <w:tcW w:type="dxa" w:w="2880"/>
          </w:tcPr>
          <w:p>
            <w:r>
              <w:t>System validation</w:t>
            </w:r>
          </w:p>
        </w:tc>
        <w:tc>
          <w:tcPr>
            <w:tcW w:type="dxa" w:w="2880"/>
          </w:tcPr>
          <w:p>
            <w:r>
              <w:t>Repository pipeline</w:t>
            </w:r>
          </w:p>
        </w:tc>
        <w:tc>
          <w:tcPr>
            <w:tcW w:type="dxa" w:w="2880"/>
          </w:tcPr>
          <w:p>
            <w:r>
              <w:t>8 tests passed; 75.41s total runtime</w:t>
            </w:r>
          </w:p>
        </w:tc>
      </w:tr>
      <w:tr>
        <w:tc>
          <w:tcPr>
            <w:tcW w:type="dxa" w:w="2880"/>
          </w:tcPr>
          <w:p>
            <w:r>
              <w:t>Corpus coverage</w:t>
            </w:r>
          </w:p>
        </w:tc>
        <w:tc>
          <w:tcPr>
            <w:tcW w:type="dxa" w:w="2880"/>
          </w:tcPr>
          <w:p>
            <w:r>
              <w:t>Knowledge base</w:t>
            </w:r>
          </w:p>
        </w:tc>
        <w:tc>
          <w:tcPr>
            <w:tcW w:type="dxa" w:w="2880"/>
          </w:tcPr>
          <w:p>
            <w:r>
              <w:t>21 statute docs; 3,282 sections; 1,392 case-law records; 270 cross-ref entries; 5,452 vector records</w:t>
            </w:r>
          </w:p>
        </w:tc>
      </w:tr>
      <w:tr>
        <w:tc>
          <w:tcPr>
            <w:tcW w:type="dxa" w:w="2880"/>
          </w:tcPr>
          <w:p>
            <w:r>
              <w:t>Citation quality</w:t>
            </w:r>
          </w:p>
        </w:tc>
        <w:tc>
          <w:tcPr>
            <w:tcW w:type="dxa" w:w="2880"/>
          </w:tcPr>
          <w:p>
            <w:r>
              <w:t>Cross-reference layer</w:t>
            </w:r>
          </w:p>
        </w:tc>
        <w:tc>
          <w:tcPr>
            <w:tcW w:type="dxa" w:w="2880"/>
          </w:tcPr>
          <w:p>
            <w:r>
              <w:t>94.7% citation coverage; 90 IPC sections require manual mapping</w:t>
            </w:r>
          </w:p>
        </w:tc>
      </w:tr>
      <w:tr>
        <w:tc>
          <w:tcPr>
            <w:tcW w:type="dxa" w:w="2880"/>
          </w:tcPr>
          <w:p>
            <w:r>
              <w:t>Outcome safety</w:t>
            </w:r>
          </w:p>
        </w:tc>
        <w:tc>
          <w:tcPr>
            <w:tcW w:type="dxa" w:w="2880"/>
          </w:tcPr>
          <w:p>
            <w:r>
              <w:t>Abstention logic</w:t>
            </w:r>
          </w:p>
        </w:tc>
        <w:tc>
          <w:tcPr>
            <w:tcW w:type="dxa" w:w="2880"/>
          </w:tcPr>
          <w:p>
            <w:r>
              <w:t>Returns insufficient_data when comparable cohort is too small</w:t>
            </w:r>
          </w:p>
        </w:tc>
      </w:tr>
      <w:tr>
        <w:tc>
          <w:tcPr>
            <w:tcW w:type="dxa" w:w="2880"/>
          </w:tcPr>
          <w:p>
            <w:r>
              <w:t>Benchmark status</w:t>
            </w:r>
          </w:p>
        </w:tc>
        <w:tc>
          <w:tcPr>
            <w:tcW w:type="dxa" w:w="2880"/>
          </w:tcPr>
          <w:p>
            <w:r>
              <w:t>Held-out evaluation</w:t>
            </w:r>
          </w:p>
        </w:tc>
        <w:tc>
          <w:tcPr>
            <w:tcW w:type="dxa" w:w="2880"/>
          </w:tcPr>
          <w:p>
            <w:r>
              <w:t>Not yet executed; final retrieval and answer-quality metrics remain pending</w:t>
            </w:r>
          </w:p>
        </w:tc>
      </w:tr>
    </w:tbl>
    <w:p>
      <w:r>
        <w:br/>
        <w:t>Paper-ready paragraph:</w:t>
      </w:r>
    </w:p>
    <w:p>
      <w:r>
        <w:t>JusticeCompass was validated on the current implementation with 8 automated tests passing successfully. The project knowledge base contains 21 statute documents, 3,282 statute sections, 1,392 case-law records, 270 cross-reference entries, and 5,452 vector database records. Coverage is strongest in criminal law, where 1,200 bail-related judgments are available; other domains are represented primarily by statutes rather than case law. The system reports 94.7% citation coverage in the cross-reference layer, while noting that 90 IPC sections remain unmapped and that the concordance is not yet verified against an official government mapping. The model abstains with insufficient_data when comparable outcome data are too small, avoiding unsupported probability estimates. A full held-out retrieval and answer-quality benchmark has not yet been executed in the repository, so these results reflect implementation validation and corpus coverage rather than final benchmarked retrieval metrics.</w:t>
      </w:r>
    </w:p>
    <w:p>
      <w:r>
        <w:t>Corpus composition</w:t>
      </w:r>
    </w:p>
    <w:p>
      <w:r>
        <w:drawing>
          <wp:inline xmlns:a="http://schemas.openxmlformats.org/drawingml/2006/main" xmlns:pic="http://schemas.openxmlformats.org/drawingml/2006/picture">
            <wp:extent cx="4937760" cy="2783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8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Coverage by legal domain</w:t>
      </w:r>
    </w:p>
    <w:p>
      <w:r>
        <w:drawing>
          <wp:inline xmlns:a="http://schemas.openxmlformats.org/drawingml/2006/main" xmlns:pic="http://schemas.openxmlformats.org/drawingml/2006/picture">
            <wp:extent cx="5303520" cy="2212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20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