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F4E79"/>
          <w:sz w:val="52"/>
        </w:rPr>
        <w:t>AI Academic Assistant</w:t>
      </w:r>
    </w:p>
    <w:p>
      <w:pPr>
        <w:spacing w:after="480"/>
        <w:jc w:val="center"/>
      </w:pPr>
      <w:r>
        <w:rPr>
          <w:i/>
          <w:color w:val="7F7F7F"/>
          <w:sz w:val="28"/>
        </w:rPr>
        <w:t>Technical Report on Project Optimization Techniques &amp; Impact</w:t>
      </w:r>
    </w:p>
    <w:p>
      <w:pPr>
        <w:spacing w:before="360" w:after="120"/>
      </w:pPr>
      <w:r>
        <w:rPr>
          <w:b/>
          <w:color w:val="1F4E79"/>
          <w:sz w:val="36"/>
        </w:rPr>
        <w:t>1. Executive Summary</w:t>
      </w:r>
    </w:p>
    <w:p>
      <w:pPr>
        <w:spacing w:line="276" w:lineRule="auto" w:after="240"/>
      </w:pPr>
      <w:r>
        <w:t>This technical document provides a comparative analysis of the optimization techniques deployed in the AI Academic Assistant project. It outlines the current production-ready implementation, its performance metrics, and the architectural differences compared to naive or alternative approaches. In particular, it covers backend concurrency, persistent database caching, semantic chunking mechanisms, lazy initialization of models, event-loop blocking mitigation, and user-experience patterns.</w:t>
      </w:r>
    </w:p>
    <w:p>
      <w:pPr>
        <w:spacing w:before="360" w:after="120"/>
      </w:pPr>
      <w:r>
        <w:rPr>
          <w:b/>
          <w:color w:val="1F4E79"/>
          <w:sz w:val="36"/>
        </w:rPr>
        <w:t>2. Backend Concurrency: Parallel Map-Reduce with Semaphores</w:t>
      </w:r>
    </w:p>
    <w:p>
      <w:pPr>
        <w:spacing w:line="276" w:lineRule="auto" w:after="160"/>
      </w:pPr>
      <w:r>
        <w:t>For long documents, the application divides the raw text into chunks, processes those chunks through the LLM individually, and then synthesizes a final executive summary and study notes (Map-Reduce pipeline). To prevent performance bottlenecks, this processing runs concurrently.</w:t>
      </w:r>
    </w:p>
    <w:p>
      <w:pPr>
        <w:spacing w:line="276" w:lineRule="auto" w:after="240"/>
      </w:pPr>
      <w:r>
        <w:t>Crucially, Groq API endpoints have strict rate limits (Requests Per Minute/Tokens Per Minute). To ensure stability, a Semaphore limits the concurrency to 3 simultaneous calls.</w:t>
      </w:r>
    </w:p>
    <w:tbl>
      <w:tblPr>
        <w:tblW w:type="auto" w:w="0"/>
        <w:tblLayout w:type="fixed"/>
        <w:tblLook w:firstColumn="1" w:firstRow="1" w:lastColumn="0" w:lastRow="0" w:noHBand="0" w:noVBand="1" w:val="04A0"/>
      </w:tblPr>
      <w:tblGrid>
        <w:gridCol w:w="2340"/>
        <w:gridCol w:w="2340"/>
        <w:gridCol w:w="2340"/>
        <w:gridCol w:w="2340"/>
      </w:tblGrid>
      <w:tr>
        <w:tc>
          <w:tcPr>
            <w:tcW w:type="dxa" w:w="1728"/>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Metric</w:t>
            </w:r>
          </w:p>
        </w:tc>
        <w:tc>
          <w:tcPr>
            <w:tcW w:type="dxa" w:w="2880"/>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Current (Parallel Map-Reduce with Semaphore)</w:t>
            </w:r>
          </w:p>
        </w:tc>
        <w:tc>
          <w:tcPr>
            <w:tcW w:type="dxa" w:w="2592"/>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Alternative A (Sequential Chunking)</w:t>
            </w:r>
          </w:p>
        </w:tc>
        <w:tc>
          <w:tcPr>
            <w:tcW w:type="dxa" w:w="2160"/>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Alternative B (Unrestricted Concurrency)</w:t>
            </w:r>
          </w:p>
        </w:tc>
      </w:tr>
      <w:tr>
        <w:tc>
          <w:tcPr>
            <w:tcW w:type="dxa" w:w="172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Throughput</w:t>
            </w:r>
          </w:p>
        </w:tc>
        <w:tc>
          <w:tcPr>
            <w:tcW w:type="dxa" w:w="288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High (processes 3 chunks at a time)</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Low (processes chunks one-by-one)</w:t>
            </w:r>
          </w:p>
        </w:tc>
        <w:tc>
          <w:tcPr>
            <w:tcW w:type="dxa" w:w="216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Max (sends all chunks at once)</w:t>
            </w:r>
          </w:p>
        </w:tc>
      </w:tr>
      <w:tr>
        <w:tc>
          <w:tcPr>
            <w:tcW w:type="dxa" w:w="1728"/>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Stability</w:t>
            </w:r>
          </w:p>
        </w:tc>
        <w:tc>
          <w:tcPr>
            <w:tcW w:type="dxa" w:w="2880"/>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High (guaranteed to avoid rate limits)</w:t>
            </w:r>
          </w:p>
        </w:tc>
        <w:tc>
          <w:tcPr>
            <w:tcW w:type="dxa" w:w="2592"/>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High (slow, but rate limit hits are rare)</w:t>
            </w:r>
          </w:p>
        </w:tc>
        <w:tc>
          <w:tcPr>
            <w:tcW w:type="dxa" w:w="2160"/>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Zero (will crash on large documents)</w:t>
            </w:r>
          </w:p>
        </w:tc>
      </w:tr>
      <w:tr>
        <w:tc>
          <w:tcPr>
            <w:tcW w:type="dxa" w:w="172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Execution Time</w:t>
            </w:r>
          </w:p>
        </w:tc>
        <w:tc>
          <w:tcPr>
            <w:tcW w:type="dxa" w:w="288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O(N/3) * T_request</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O(N) * T_request (Very Slow)</w:t>
            </w:r>
          </w:p>
        </w:tc>
        <w:tc>
          <w:tcPr>
            <w:tcW w:type="dxa" w:w="216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O(1) * T_request (Fails frequently)</w:t>
            </w:r>
          </w:p>
        </w:tc>
      </w:tr>
    </w:tbl>
    <w:p>
      <w:pPr>
        <w:spacing w:after="240"/>
      </w:pPr>
    </w:p>
    <w:p>
      <w:pPr>
        <w:spacing w:before="360" w:after="120"/>
      </w:pPr>
      <w:r>
        <w:rPr>
          <w:b/>
          <w:color w:val="1F4E79"/>
          <w:sz w:val="36"/>
        </w:rPr>
        <w:t>3. Database Caching: SQLite Persistent Storage</w:t>
      </w:r>
    </w:p>
    <w:p>
      <w:pPr>
        <w:spacing w:line="276" w:lineRule="auto" w:after="240"/>
      </w:pPr>
      <w:r>
        <w:t>The system stores processed document summaries, core key concepts, and segment metadata in an SQLite database using SQLModel. The unique identifier is the filename or document hash.</w:t>
      </w:r>
    </w:p>
    <w:tbl>
      <w:tblPr>
        <w:tblW w:type="auto" w:w="0"/>
        <w:tblLayout w:type="fixed"/>
        <w:tblLook w:firstColumn="1" w:firstRow="1" w:lastColumn="0" w:lastRow="0" w:noHBand="0" w:noVBand="1" w:val="04A0"/>
      </w:tblPr>
      <w:tblGrid>
        <w:gridCol w:w="2340"/>
        <w:gridCol w:w="2340"/>
        <w:gridCol w:w="2340"/>
        <w:gridCol w:w="2340"/>
      </w:tblGrid>
      <w:tr>
        <w:tc>
          <w:tcPr>
            <w:tcW w:type="dxa" w:w="1728"/>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Metric</w:t>
            </w:r>
          </w:p>
        </w:tc>
        <w:tc>
          <w:tcPr>
            <w:tcW w:type="dxa" w:w="2592"/>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Current (Persistent DB Cache)</w:t>
            </w:r>
          </w:p>
        </w:tc>
        <w:tc>
          <w:tcPr>
            <w:tcW w:type="dxa" w:w="2592"/>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Alternative A (No Caching)</w:t>
            </w:r>
          </w:p>
        </w:tc>
        <w:tc>
          <w:tcPr>
            <w:tcW w:type="dxa" w:w="2448"/>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Alternative B (In-Memory RAM Cache)</w:t>
            </w:r>
          </w:p>
        </w:tc>
      </w:tr>
      <w:tr>
        <w:tc>
          <w:tcPr>
            <w:tcW w:type="dxa" w:w="172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Recall Time</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&lt; 10ms (Instant load)</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5s - 45s (Full LLM execution)</w:t>
            </w:r>
          </w:p>
        </w:tc>
        <w:tc>
          <w:tcPr>
            <w:tcW w:type="dxa" w:w="244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&lt; 1ms (Instant load)</w:t>
            </w:r>
          </w:p>
        </w:tc>
      </w:tr>
      <w:tr>
        <w:tc>
          <w:tcPr>
            <w:tcW w:type="dxa" w:w="1728"/>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Token Cost</w:t>
            </w:r>
          </w:p>
        </w:tc>
        <w:tc>
          <w:tcPr>
            <w:tcW w:type="dxa" w:w="2592"/>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$0.00 after the first run</w:t>
            </w:r>
          </w:p>
        </w:tc>
        <w:tc>
          <w:tcPr>
            <w:tcW w:type="dxa" w:w="2592"/>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Re-charged on every page view</w:t>
            </w:r>
          </w:p>
        </w:tc>
        <w:tc>
          <w:tcPr>
            <w:tcW w:type="dxa" w:w="2448"/>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$0.00 until server restarts</w:t>
            </w:r>
          </w:p>
        </w:tc>
      </w:tr>
      <w:tr>
        <w:tc>
          <w:tcPr>
            <w:tcW w:type="dxa" w:w="172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Persistence</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Permanent (survives restarts)</w:t>
            </w:r>
          </w:p>
        </w:tc>
        <w:tc>
          <w:tcPr>
            <w:tcW w:type="dxa" w:w="2592"/>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None</w:t>
            </w:r>
          </w:p>
        </w:tc>
        <w:tc>
          <w:tcPr>
            <w:tcW w:type="dxa" w:w="2448"/>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Temporary (lost on restart)</w:t>
            </w:r>
          </w:p>
        </w:tc>
      </w:tr>
    </w:tbl>
    <w:p>
      <w:pPr>
        <w:spacing w:after="240"/>
      </w:pPr>
    </w:p>
    <w:p>
      <w:pPr>
        <w:spacing w:before="360" w:after="120"/>
      </w:pPr>
      <w:r>
        <w:rPr>
          <w:b/>
          <w:color w:val="1F4E79"/>
          <w:sz w:val="36"/>
        </w:rPr>
        <w:t>4. Semantic Chunking vs. Fixed-Size Chunking</w:t>
      </w:r>
    </w:p>
    <w:p>
      <w:pPr>
        <w:spacing w:line="276" w:lineRule="auto" w:after="240"/>
      </w:pPr>
      <w:r>
        <w:t>Traditional text parsers split texts based on static character or token counts. In contrast, this project employs a dynamic semantic chunker. It computes embedding vectors using SentenceTransformers (all-MiniLM-L6-v2) for all sentences, detects cosine distance differences, and dynamically splits the document at points of significant topic shifts.</w:t>
      </w:r>
    </w:p>
    <w:tbl>
      <w:tblPr>
        <w:tblW w:type="auto" w:w="0"/>
        <w:tblLayout w:type="fixed"/>
        <w:tblLook w:firstColumn="1" w:firstRow="1" w:lastColumn="0" w:lastRow="0" w:noHBand="0" w:noVBand="1" w:val="04A0"/>
      </w:tblPr>
      <w:tblGrid>
        <w:gridCol w:w="3120"/>
        <w:gridCol w:w="3120"/>
        <w:gridCol w:w="3120"/>
      </w:tblGrid>
      <w:tr>
        <w:tc>
          <w:tcPr>
            <w:tcW w:type="dxa" w:w="2160"/>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Feature</w:t>
            </w:r>
          </w:p>
        </w:tc>
        <w:tc>
          <w:tcPr>
            <w:tcW w:type="dxa" w:w="3600"/>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Current (Semantic Chunking)</w:t>
            </w:r>
          </w:p>
        </w:tc>
        <w:tc>
          <w:tcPr>
            <w:tcW w:type="dxa" w:w="3600"/>
            <w:tcMar>
              <w:top w:w="140" w:type="dxa"/>
              <w:bottom w:w="140" w:type="dxa"/>
              <w:left w:w="180" w:type="dxa"/>
              <w:right w:w="180" w:type="dxa"/>
            </w:tcMar>
            <w:shd w:fill="1F4E79"/>
            <w:tcBorders>
              <w:top w:val="none" w:sz="4" w:space="0" w:color="auto"/>
              <w:bottom w:val="single" w:sz="8" w:space="0" w:color="113355"/>
              <w:left w:val="none" w:sz="4" w:space="0" w:color="auto"/>
              <w:right w:val="none" w:sz="4" w:space="0" w:color="auto"/>
            </w:tcBorders>
          </w:tcPr>
          <w:p>
            <w:pPr>
              <w:spacing w:line="276" w:lineRule="auto" w:after="40"/>
            </w:pPr>
            <w:r>
              <w:rPr>
                <w:rFonts w:ascii="Arial" w:hAnsi="Arial"/>
                <w:b/>
                <w:color w:val="FFFFFF"/>
                <w:sz w:val="20"/>
              </w:rPr>
              <w:t>Alternative (Fixed-Size / Sliding Window)</w:t>
            </w:r>
          </w:p>
        </w:tc>
      </w:tr>
      <w:tr>
        <w:tc>
          <w:tcPr>
            <w:tcW w:type="dxa" w:w="216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Chunk Cohesion</w:t>
            </w:r>
          </w:p>
        </w:tc>
        <w:tc>
          <w:tcPr>
            <w:tcW w:type="dxa" w:w="360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High (chunks group identical/related topics)</w:t>
            </w:r>
          </w:p>
        </w:tc>
        <w:tc>
          <w:tcPr>
            <w:tcW w:type="dxa" w:w="360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Low (arbitrary split boundaries)</w:t>
            </w:r>
          </w:p>
        </w:tc>
      </w:tr>
      <w:tr>
        <w:tc>
          <w:tcPr>
            <w:tcW w:type="dxa" w:w="2160"/>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Sentence Integrity</w:t>
            </w:r>
          </w:p>
        </w:tc>
        <w:tc>
          <w:tcPr>
            <w:tcW w:type="dxa" w:w="3600"/>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Perfect (never splits sentences/formulas)</w:t>
            </w:r>
          </w:p>
        </w:tc>
        <w:tc>
          <w:tcPr>
            <w:tcW w:type="dxa" w:w="3600"/>
            <w:tcMar>
              <w:top w:w="140" w:type="dxa"/>
              <w:bottom w:w="140" w:type="dxa"/>
              <w:left w:w="180" w:type="dxa"/>
              <w:right w:w="180" w:type="dxa"/>
            </w:tcMar>
            <w:shd w:fill="F2F6F9"/>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Poor (cuts words/formulas in half)</w:t>
            </w:r>
          </w:p>
        </w:tc>
      </w:tr>
      <w:tr>
        <w:tc>
          <w:tcPr>
            <w:tcW w:type="dxa" w:w="216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Synthesis Quality</w:t>
            </w:r>
          </w:p>
        </w:tc>
        <w:tc>
          <w:tcPr>
            <w:tcW w:type="dxa" w:w="360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Excellent (summarizer gets complete context)</w:t>
            </w:r>
          </w:p>
        </w:tc>
        <w:tc>
          <w:tcPr>
            <w:tcW w:type="dxa" w:w="3600"/>
            <w:tcMar>
              <w:top w:w="140" w:type="dxa"/>
              <w:bottom w:w="140" w:type="dxa"/>
              <w:left w:w="180" w:type="dxa"/>
              <w:right w:w="180" w:type="dxa"/>
            </w:tcMar>
            <w:shd w:fill="FFFFFF"/>
            <w:tcBorders>
              <w:top w:val="none" w:sz="4" w:space="0" w:color="auto"/>
              <w:bottom w:val="single" w:sz="4" w:space="0" w:color="E0E0E0"/>
              <w:left w:val="none" w:sz="4" w:space="0" w:color="auto"/>
              <w:right w:val="none" w:sz="4" w:space="0" w:color="auto"/>
            </w:tcBorders>
          </w:tcPr>
          <w:p>
            <w:pPr>
              <w:spacing w:line="276" w:lineRule="auto" w:after="40"/>
            </w:pPr>
            <w:r>
              <w:rPr>
                <w:rFonts w:ascii="Arial" w:hAnsi="Arial"/>
                <w:color w:val="333333"/>
                <w:sz w:val="20"/>
              </w:rPr>
              <w:t>Mediocre (summarizer gets fragmented context)</w:t>
            </w:r>
          </w:p>
        </w:tc>
      </w:tr>
    </w:tbl>
    <w:p>
      <w:pPr>
        <w:spacing w:after="240"/>
      </w:pPr>
    </w:p>
    <w:p>
      <w:pPr>
        <w:spacing w:before="360" w:after="120"/>
      </w:pPr>
      <w:r>
        <w:rPr>
          <w:b/>
          <w:color w:val="1F4E79"/>
          <w:sz w:val="36"/>
        </w:rPr>
        <w:t>5. System Infrastructure Optimizations</w:t>
      </w:r>
    </w:p>
    <w:p>
      <w:pPr>
        <w:spacing w:before="160" w:after="80"/>
      </w:pPr>
      <w:r>
        <w:rPr>
          <w:b/>
          <w:sz w:val="26"/>
        </w:rPr>
        <w:t>5.1 Lazy Loading of Models</w:t>
      </w:r>
    </w:p>
    <w:p>
      <w:pPr>
        <w:spacing w:line="276" w:lineRule="auto" w:after="160"/>
      </w:pPr>
      <w:r>
        <w:t>Loading deep learning embedding libraries like PyTorch and sentence-transformers is heavy on memory and takes up to 8-10 seconds. The code caches the loaded embedding model as a global variable and loads it only on-demand (when a document requires semantic chunking). If a user is navigating the dashboard, fetching quizzes, or deleting files, the model is never loaded. This keeps cold-start times below 1 second.</w:t>
      </w:r>
    </w:p>
    <w:p>
      <w:pPr>
        <w:spacing w:before="160" w:after="80"/>
      </w:pPr>
      <w:r>
        <w:rPr>
          <w:b/>
          <w:sz w:val="26"/>
        </w:rPr>
        <w:t>5.2 CPU-Bound Task Offloading (Thread Pools)</w:t>
      </w:r>
    </w:p>
    <w:p>
      <w:pPr>
        <w:spacing w:line="276" w:lineRule="auto" w:after="160"/>
      </w:pPr>
      <w:r>
        <w:t>Calculating embeddings and extracting text from PDFs is a CPU-bound operation. Under Python's Global Interpreter Lock (GIL), calling these operations synchronously would freeze the single-threaded event loop. The app uses 'asyncio.to_thread' to delegate these heavy computations to a background worker pool, keeping the API server completely responsive to incoming requests.</w:t>
      </w:r>
    </w:p>
    <w:p>
      <w:pPr>
        <w:spacing w:before="160" w:after="80"/>
      </w:pPr>
      <w:r>
        <w:rPr>
          <w:b/>
          <w:sz w:val="26"/>
        </w:rPr>
        <w:t>5.3 Dynamic Backoff and Rate-Limit Extraction</w:t>
      </w:r>
    </w:p>
    <w:p>
      <w:pPr>
        <w:spacing w:line="276" w:lineRule="auto" w:after="240"/>
      </w:pPr>
      <w:r>
        <w:t>The Groq integration incorporates exponential backoff retries. Instead of sleeping an arbitrary duration upon receiving a rate-limit error (HTTP 429), it parses the header using regex ('try again in X seconds') and sleeps the exact required duration. This guarantees the maximum possible throughput without wasting request buffer limits.</w:t>
      </w:r>
    </w:p>
    <w:p>
      <w:pPr>
        <w:spacing w:before="360" w:after="120"/>
      </w:pPr>
      <w:r>
        <w:rPr>
          <w:b/>
          <w:color w:val="1F4E79"/>
          <w:sz w:val="36"/>
        </w:rPr>
        <w:t>6. User Experience: Async Background Polling</w:t>
      </w:r>
    </w:p>
    <w:p>
      <w:pPr>
        <w:spacing w:line="276" w:lineRule="auto" w:after="480"/>
      </w:pPr>
      <w:r>
        <w:t>For document uploads and summaries, a synchronous response would risk client connection timeouts. Instead, the backend spawns a background task and immediately returns a job ID. The frontend queries a status API every 1.5 seconds, retrieving live progress metrics (0-100%) and current phases. This prevents frontend lockups, ensures connection reliability, and yields a premium, transparent user experience.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8"/>
      </w:rPr>
      <w:t>AI Academic Assistant Technical Report - 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