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20"/>
      </w:pPr>
      <w:r>
        <w:drawing>
          <wp:inline xmlns:a="http://schemas.openxmlformats.org/drawingml/2006/main" xmlns:pic="http://schemas.openxmlformats.org/drawingml/2006/picture">
            <wp:extent cx="4615200" cy="2483516"/>
            <wp:docPr id="1" name="Picture 1"/>
            <wp:cNvGraphicFramePr>
              <a:graphicFrameLocks noChangeAspect="1"/>
            </wp:cNvGraphicFramePr>
            <a:graphic>
              <a:graphicData uri="http://schemas.openxmlformats.org/drawingml/2006/picture">
                <pic:pic>
                  <pic:nvPicPr>
                    <pic:cNvPr id="0" name="hero-banner.png"/>
                    <pic:cNvPicPr/>
                  </pic:nvPicPr>
                  <pic:blipFill>
                    <a:blip r:embed="rId9"/>
                    <a:stretch>
                      <a:fillRect/>
                    </a:stretch>
                  </pic:blipFill>
                  <pic:spPr>
                    <a:xfrm>
                      <a:off x="0" y="0"/>
                      <a:ext cx="4615200" cy="2483516"/>
                    </a:xfrm>
                    <a:prstGeom prst="rect"/>
                  </pic:spPr>
                </pic:pic>
              </a:graphicData>
            </a:graphic>
          </wp:inline>
        </w:drawing>
      </w:r>
    </w:p>
    <w:p>
      <w:pPr>
        <w:pStyle w:val="Heading1"/>
      </w:pPr>
      <w:r>
        <w:t>KPMG Regulatory Transformation Fortnightly Brief - 22 September - 5 October 2026</w:t>
      </w:r>
    </w:p>
    <w:p>
      <w:pPr>
        <w:pStyle w:val="body_letter"/>
      </w:pPr>
      <w:r>
        <w:rPr>
          <w:rFonts w:ascii="Arial" w:hAnsi="Arial"/>
          <w:i/>
          <w:color w:val="666666"/>
          <w:sz w:val="19"/>
        </w:rPr>
        <w:t>Regulatory Transformation Community of Practice - Fortnightly Brief</w:t>
      </w:r>
    </w:p>
    <w:p>
      <w:pPr>
        <w:pStyle w:val="body_letter"/>
      </w:pPr>
      <w:r>
        <w:rPr>
          <w:rFonts w:ascii="Arial" w:hAnsi="Arial"/>
          <w:color w:val="666666"/>
          <w:sz w:val="19"/>
        </w:rPr>
        <w:t>05 October 2026</w:t>
      </w:r>
    </w:p>
    <w:p>
      <w:pPr>
        <w:pStyle w:val="subheading_letter"/>
      </w:pPr>
      <w:r>
        <w:rPr>
          <w:rFonts w:ascii="Arial" w:hAnsi="Arial"/>
          <w:b/>
          <w:color w:val="76D2FF"/>
          <w:sz w:val="21"/>
        </w:rPr>
        <w:t>Key messages from Adam</w:t>
      </w:r>
    </w:p>
    <w:p>
      <w:pPr>
        <w:pStyle w:val="body_letter"/>
      </w:pPr>
      <w:r>
        <w:rPr>
          <w:rFonts w:ascii="Arial" w:hAnsi="Arial"/>
          <w:b w:val="0"/>
          <w:color w:val="000000"/>
          <w:sz w:val="19"/>
        </w:rPr>
        <w:t>This fortnight's regulatory activity clusters around transport safety and environmental compliance, with AMSA driving emissions reduction planning, fuel security remaining a live concern for DCCEEW, and Home Affairs advancing telecommunications security reforms that signal a broader regulatory posture shift across critical infrastructure sectors. The intersection of maritime safety modernisation and crew fatigue standards represents the sharpest near-term advisory opportunity, as regulators tighten operational requirements while industry seeks pragmatic compliance pathways ahead of the cruise season. Brief our transport, energy, and critical infrastructure sector leads this week to map current client exposure against the AMSA, ATSB, and Home Affairs reform vectors and identify where we can lead the framing conversation.</w:t>
      </w:r>
    </w:p>
    <w:p>
      <w:pPr>
        <w:pStyle w:val="subheading_letter"/>
      </w:pPr>
      <w:r>
        <w:rPr>
          <w:rFonts w:ascii="Arial" w:hAnsi="Arial"/>
          <w:b/>
          <w:color w:val="76D2FF"/>
          <w:sz w:val="21"/>
        </w:rPr>
        <w:t>Regulators in the news (this fortnight)</w:t>
      </w:r>
    </w:p>
    <w:p>
      <w:pPr>
        <w:pStyle w:val="ListBullet"/>
      </w:pPr>
      <w:r>
        <w:rPr>
          <w:rFonts w:ascii="Arial" w:hAnsi="Arial"/>
          <w:b/>
          <w:color w:val="000000"/>
          <w:sz w:val="19"/>
        </w:rPr>
        <w:t>Australian Skills Quality Authority</w:t>
      </w:r>
      <w:r>
        <w:rPr>
          <w:rFonts w:ascii="Arial" w:hAnsi="Arial"/>
          <w:color w:val="000000"/>
          <w:sz w:val="19"/>
        </w:rPr>
        <w:t xml:space="preserve"> - </w:t>
      </w:r>
      <w:r>
        <w:rPr>
          <w:rFonts w:ascii="Arial" w:hAnsi="Arial"/>
          <w:color w:val="000000"/>
          <w:sz w:val="19"/>
        </w:rPr>
        <w:t>ASQA is placing registered training organisations under closer scrutiny for material change notifications related to ownership structures and governance arrangements.</w:t>
      </w:r>
      <w:r>
        <w:rPr>
          <w:rFonts w:ascii="Arial" w:hAnsi="Arial"/>
          <w:color w:val="000000"/>
          <w:sz w:val="19"/>
        </w:rPr>
        <w:t xml:space="preserve"> (</w:t>
      </w:r>
      <w:hyperlink r:id="rId10">
        <w:r>
          <w:rPr>
            <w:rFonts w:ascii="Arial" w:hAnsi="Arial" w:cs="Arial"/>
            <w:color w:val="0000FF"/>
            <w:sz w:val="19"/>
            <w:szCs w:val="19"/>
            <w:u w:val="single"/>
          </w:rPr>
          <w:t xml:space="preserve">Read more</w:t>
        </w:r>
      </w:hyperlink>
      <w:r>
        <w:rPr>
          <w:rFonts w:ascii="Arial" w:hAnsi="Arial"/>
          <w:color w:val="000000"/>
          <w:sz w:val="19"/>
        </w:rPr>
        <w:t>)</w:t>
      </w:r>
    </w:p>
    <w:p>
      <w:pPr>
        <w:pStyle w:val="ListBullet"/>
      </w:pPr>
      <w:r>
        <w:rPr>
          <w:rFonts w:ascii="Arial" w:hAnsi="Arial"/>
          <w:b/>
          <w:color w:val="000000"/>
          <w:sz w:val="19"/>
        </w:rPr>
        <w:t>Consumer Affairs Victoria</w:t>
      </w:r>
      <w:r>
        <w:rPr>
          <w:rFonts w:ascii="Arial" w:hAnsi="Arial"/>
          <w:color w:val="000000"/>
          <w:sz w:val="19"/>
        </w:rPr>
        <w:t xml:space="preserve"> - </w:t>
      </w:r>
      <w:r>
        <w:rPr>
          <w:rFonts w:ascii="Arial" w:hAnsi="Arial"/>
          <w:color w:val="000000"/>
          <w:sz w:val="19"/>
        </w:rPr>
        <w:t>Consumer Affairs Victoria has published new rules on property sales and underquoting obligations, requiring greater price transparency for Victorian homebuyers.</w:t>
      </w:r>
      <w:r>
        <w:rPr>
          <w:rFonts w:ascii="Arial" w:hAnsi="Arial"/>
          <w:color w:val="000000"/>
          <w:sz w:val="19"/>
        </w:rPr>
        <w:t xml:space="preserve"> (</w:t>
      </w:r>
      <w:hyperlink r:id="rId11">
        <w:r>
          <w:rPr>
            <w:rFonts w:ascii="Arial" w:hAnsi="Arial" w:cs="Arial"/>
            <w:color w:val="0000FF"/>
            <w:sz w:val="19"/>
            <w:szCs w:val="19"/>
            <w:u w:val="single"/>
          </w:rPr>
          <w:t xml:space="preserve">Read more</w:t>
        </w:r>
      </w:hyperlink>
      <w:r>
        <w:rPr>
          <w:rFonts w:ascii="Arial" w:hAnsi="Arial"/>
          <w:color w:val="000000"/>
          <w:sz w:val="19"/>
        </w:rPr>
        <w:t>)</w:t>
      </w:r>
    </w:p>
    <w:p>
      <w:pPr>
        <w:pStyle w:val="ListBullet"/>
      </w:pPr>
      <w:r>
        <w:rPr>
          <w:rFonts w:ascii="Arial" w:hAnsi="Arial"/>
          <w:b/>
          <w:color w:val="000000"/>
          <w:sz w:val="19"/>
        </w:rPr>
        <w:t>Aged Care Quality and Safety Commission</w:t>
      </w:r>
      <w:r>
        <w:rPr>
          <w:rFonts w:ascii="Arial" w:hAnsi="Arial"/>
          <w:color w:val="000000"/>
          <w:sz w:val="19"/>
        </w:rPr>
        <w:t xml:space="preserve"> - </w:t>
      </w:r>
      <w:r>
        <w:rPr>
          <w:rFonts w:ascii="Arial" w:hAnsi="Arial"/>
          <w:color w:val="000000"/>
          <w:sz w:val="19"/>
        </w:rPr>
        <w:t>The Aged Care Quality and Safety Commission published its ninth quality bulletin for 2026, signalling ongoing compliance and quality expectations for registered aged care providers.</w:t>
      </w:r>
      <w:r>
        <w:rPr>
          <w:rFonts w:ascii="Arial" w:hAnsi="Arial"/>
          <w:color w:val="000000"/>
          <w:sz w:val="19"/>
        </w:rPr>
        <w:t xml:space="preserve"> (</w:t>
      </w:r>
      <w:hyperlink r:id="rId12">
        <w:r>
          <w:rPr>
            <w:rFonts w:ascii="Arial" w:hAnsi="Arial" w:cs="Arial"/>
            <w:color w:val="0000FF"/>
            <w:sz w:val="19"/>
            <w:szCs w:val="19"/>
            <w:u w:val="single"/>
          </w:rPr>
          <w:t xml:space="preserve">Read more</w:t>
        </w:r>
      </w:hyperlink>
      <w:r>
        <w:rPr>
          <w:rFonts w:ascii="Arial" w:hAnsi="Arial"/>
          <w:color w:val="000000"/>
          <w:sz w:val="19"/>
        </w:rPr>
        <w:t>)</w:t>
      </w:r>
    </w:p>
    <w:p>
      <w:pPr>
        <w:pStyle w:val="ListBullet"/>
      </w:pPr>
      <w:r>
        <w:rPr>
          <w:rFonts w:ascii="Arial" w:hAnsi="Arial"/>
          <w:b/>
          <w:color w:val="000000"/>
          <w:sz w:val="19"/>
        </w:rPr>
        <w:t>Australian Federal Police</w:t>
      </w:r>
      <w:r>
        <w:rPr>
          <w:rFonts w:ascii="Arial" w:hAnsi="Arial"/>
          <w:color w:val="000000"/>
          <w:sz w:val="19"/>
        </w:rPr>
        <w:t xml:space="preserve"> - </w:t>
      </w:r>
      <w:r>
        <w:rPr>
          <w:rFonts w:ascii="Arial" w:hAnsi="Arial"/>
          <w:color w:val="000000"/>
          <w:sz w:val="19"/>
        </w:rPr>
        <w:t>The AFP finalised a foreign bribery investigation against a company, securing a $9 million settlement in a significant enforcement outcome.</w:t>
      </w:r>
      <w:r>
        <w:rPr>
          <w:rFonts w:ascii="Arial" w:hAnsi="Arial"/>
          <w:color w:val="000000"/>
          <w:sz w:val="19"/>
        </w:rPr>
        <w:t xml:space="preserve"> (</w:t>
      </w:r>
      <w:hyperlink r:id="rId13">
        <w:r>
          <w:rPr>
            <w:rFonts w:ascii="Arial" w:hAnsi="Arial" w:cs="Arial"/>
            <w:color w:val="0000FF"/>
            <w:sz w:val="19"/>
            <w:szCs w:val="19"/>
            <w:u w:val="single"/>
          </w:rPr>
          <w:t xml:space="preserve">Read more</w:t>
        </w:r>
      </w:hyperlink>
      <w:r>
        <w:rPr>
          <w:rFonts w:ascii="Arial" w:hAnsi="Arial"/>
          <w:color w:val="000000"/>
          <w:sz w:val="19"/>
        </w:rPr>
        <w:t>)</w:t>
      </w:r>
    </w:p>
    <w:p>
      <w:pPr>
        <w:pStyle w:val="ListBullet"/>
      </w:pPr>
      <w:r>
        <w:rPr>
          <w:rFonts w:ascii="Arial" w:hAnsi="Arial"/>
          <w:b/>
          <w:color w:val="000000"/>
          <w:sz w:val="19"/>
        </w:rPr>
        <w:t>eSafety Commissioner</w:t>
      </w:r>
      <w:r>
        <w:rPr>
          <w:rFonts w:ascii="Arial" w:hAnsi="Arial"/>
          <w:color w:val="000000"/>
          <w:sz w:val="19"/>
        </w:rPr>
        <w:t xml:space="preserve"> - </w:t>
      </w:r>
      <w:r>
        <w:rPr>
          <w:rFonts w:ascii="Arial" w:hAnsi="Arial"/>
          <w:color w:val="000000"/>
          <w:sz w:val="19"/>
        </w:rPr>
        <w:t>The eSafety Commissioner urged major gaming platforms to improve child safety measures, releasing transparency notice responses covering online game and gaming-adjacent services.</w:t>
      </w:r>
      <w:r>
        <w:rPr>
          <w:rFonts w:ascii="Arial" w:hAnsi="Arial"/>
          <w:color w:val="000000"/>
          <w:sz w:val="19"/>
        </w:rPr>
        <w:t xml:space="preserve"> (</w:t>
      </w:r>
      <w:hyperlink r:id="rId14">
        <w:r>
          <w:rPr>
            <w:rFonts w:ascii="Arial" w:hAnsi="Arial" w:cs="Arial"/>
            <w:color w:val="0000FF"/>
            <w:sz w:val="19"/>
            <w:szCs w:val="19"/>
            <w:u w:val="single"/>
          </w:rPr>
          <w:t xml:space="preserve">Read more</w:t>
        </w:r>
      </w:hyperlink>
      <w:r>
        <w:rPr>
          <w:rFonts w:ascii="Arial" w:hAnsi="Arial"/>
          <w:color w:val="000000"/>
          <w:sz w:val="19"/>
        </w:rPr>
        <w:t>)</w:t>
      </w:r>
    </w:p>
    <w:p>
      <w:pPr>
        <w:pStyle w:val="ListBullet"/>
      </w:pPr>
      <w:r>
        <w:rPr>
          <w:rFonts w:ascii="Arial" w:hAnsi="Arial"/>
          <w:b/>
          <w:color w:val="000000"/>
          <w:sz w:val="19"/>
        </w:rPr>
        <w:t>Department of Home Affairs</w:t>
      </w:r>
      <w:r>
        <w:rPr>
          <w:rFonts w:ascii="Arial" w:hAnsi="Arial"/>
          <w:color w:val="000000"/>
          <w:sz w:val="19"/>
        </w:rPr>
        <w:t xml:space="preserve"> - </w:t>
      </w:r>
      <w:r>
        <w:rPr>
          <w:rFonts w:ascii="Arial" w:hAnsi="Arial"/>
          <w:color w:val="000000"/>
          <w:sz w:val="19"/>
        </w:rPr>
        <w:t>The Department of Home Affairs launched a public consultation on Horizon 2 of the 2023 to 2030 Australian Cyber Security Strategy, inviting submissions to shape the next phase of national cyber…</w:t>
      </w:r>
      <w:r>
        <w:rPr>
          <w:rFonts w:ascii="Arial" w:hAnsi="Arial"/>
          <w:color w:val="000000"/>
          <w:sz w:val="19"/>
        </w:rPr>
        <w:t xml:space="preserve"> (</w:t>
      </w:r>
      <w:hyperlink r:id="rId15">
        <w:r>
          <w:rPr>
            <w:rFonts w:ascii="Arial" w:hAnsi="Arial" w:cs="Arial"/>
            <w:color w:val="0000FF"/>
            <w:sz w:val="19"/>
            <w:szCs w:val="19"/>
            <w:u w:val="single"/>
          </w:rPr>
          <w:t xml:space="preserve">Read more</w:t>
        </w:r>
      </w:hyperlink>
      <w:r>
        <w:rPr>
          <w:rFonts w:ascii="Arial" w:hAnsi="Arial"/>
          <w:color w:val="000000"/>
          <w:sz w:val="19"/>
        </w:rPr>
        <w:t>)</w:t>
      </w:r>
    </w:p>
    <w:p>
      <w:pPr>
        <w:pStyle w:val="ListBullet"/>
      </w:pPr>
      <w:r>
        <w:rPr>
          <w:rFonts w:ascii="Arial" w:hAnsi="Arial"/>
          <w:b/>
          <w:color w:val="000000"/>
          <w:sz w:val="19"/>
        </w:rPr>
        <w:t>Australian Energy Regulator</w:t>
      </w:r>
      <w:r>
        <w:rPr>
          <w:rFonts w:ascii="Arial" w:hAnsi="Arial"/>
          <w:color w:val="000000"/>
          <w:sz w:val="19"/>
        </w:rPr>
        <w:t xml:space="preserve"> - </w:t>
      </w:r>
      <w:r>
        <w:rPr>
          <w:rFonts w:ascii="Arial" w:hAnsi="Arial"/>
          <w:color w:val="000000"/>
          <w:sz w:val="19"/>
        </w:rPr>
        <w:t>The AER released its draft decision on the Powerlink electricity transmission determination for 2027 to 2032, including the post-tax revenue model that will shape network pricing across Queensland.</w:t>
      </w:r>
      <w:r>
        <w:rPr>
          <w:rFonts w:ascii="Arial" w:hAnsi="Arial"/>
          <w:color w:val="000000"/>
          <w:sz w:val="19"/>
        </w:rPr>
        <w:t xml:space="preserve"> (</w:t>
      </w:r>
      <w:hyperlink r:id="rId16">
        <w:r>
          <w:rPr>
            <w:rFonts w:ascii="Arial" w:hAnsi="Arial" w:cs="Arial"/>
            <w:color w:val="0000FF"/>
            <w:sz w:val="19"/>
            <w:szCs w:val="19"/>
            <w:u w:val="single"/>
          </w:rPr>
          <w:t xml:space="preserve">Read more</w:t>
        </w:r>
      </w:hyperlink>
      <w:r>
        <w:rPr>
          <w:rFonts w:ascii="Arial" w:hAnsi="Arial"/>
          <w:color w:val="000000"/>
          <w:sz w:val="19"/>
        </w:rPr>
        <w:t>)</w:t>
      </w:r>
    </w:p>
    <w:p>
      <w:pPr>
        <w:pStyle w:val="ListBullet"/>
      </w:pPr>
      <w:r>
        <w:rPr>
          <w:rFonts w:ascii="Arial" w:hAnsi="Arial"/>
          <w:b/>
          <w:color w:val="000000"/>
          <w:sz w:val="19"/>
        </w:rPr>
        <w:t>Australian Communications and Media Authority</w:t>
      </w:r>
      <w:r>
        <w:rPr>
          <w:rFonts w:ascii="Arial" w:hAnsi="Arial"/>
          <w:color w:val="000000"/>
          <w:sz w:val="19"/>
        </w:rPr>
        <w:t xml:space="preserve"> - </w:t>
      </w:r>
      <w:r>
        <w:rPr>
          <w:rFonts w:ascii="Arial" w:hAnsi="Arial"/>
          <w:color w:val="000000"/>
          <w:sz w:val="19"/>
        </w:rPr>
        <w:t>ACMA issued a formal warning to Magico Games N.V., operator of Bet Ninja, for breaching Australian gambling service obligations.</w:t>
      </w:r>
      <w:r>
        <w:rPr>
          <w:rFonts w:ascii="Arial" w:hAnsi="Arial"/>
          <w:color w:val="000000"/>
          <w:sz w:val="19"/>
        </w:rPr>
        <w:t xml:space="preserve"> (</w:t>
      </w:r>
      <w:hyperlink r:id="rId17">
        <w:r>
          <w:rPr>
            <w:rFonts w:ascii="Arial" w:hAnsi="Arial" w:cs="Arial"/>
            <w:color w:val="0000FF"/>
            <w:sz w:val="19"/>
            <w:szCs w:val="19"/>
            <w:u w:val="single"/>
          </w:rPr>
          <w:t xml:space="preserve">Read more</w:t>
        </w:r>
      </w:hyperlink>
      <w:r>
        <w:rPr>
          <w:rFonts w:ascii="Arial" w:hAnsi="Arial"/>
          <w:color w:val="000000"/>
          <w:sz w:val="19"/>
        </w:rPr>
        <w:t>)</w:t>
      </w:r>
    </w:p>
    <w:p>
      <w:pPr>
        <w:pStyle w:val="ListBullet"/>
      </w:pPr>
      <w:r>
        <w:rPr>
          <w:rFonts w:ascii="Arial" w:hAnsi="Arial"/>
          <w:b/>
          <w:color w:val="000000"/>
          <w:sz w:val="19"/>
        </w:rPr>
        <w:t>National Disability Insurance Agency</w:t>
      </w:r>
      <w:r>
        <w:rPr>
          <w:rFonts w:ascii="Arial" w:hAnsi="Arial"/>
          <w:color w:val="000000"/>
          <w:sz w:val="19"/>
        </w:rPr>
        <w:t xml:space="preserve"> - </w:t>
      </w:r>
      <w:r>
        <w:rPr>
          <w:rFonts w:ascii="Arial" w:hAnsi="Arial"/>
          <w:color w:val="000000"/>
          <w:sz w:val="19"/>
        </w:rPr>
        <w:t>The NDIA released a framework outlining legislative and structural reforms intended to place the NDIS on a sustainable long-term footing.</w:t>
      </w:r>
      <w:r>
        <w:rPr>
          <w:rFonts w:ascii="Arial" w:hAnsi="Arial"/>
          <w:color w:val="000000"/>
          <w:sz w:val="19"/>
        </w:rPr>
        <w:t xml:space="preserve"> (</w:t>
      </w:r>
      <w:hyperlink r:id="rId18">
        <w:r>
          <w:rPr>
            <w:rFonts w:ascii="Arial" w:hAnsi="Arial" w:cs="Arial"/>
            <w:color w:val="0000FF"/>
            <w:sz w:val="19"/>
            <w:szCs w:val="19"/>
            <w:u w:val="single"/>
          </w:rPr>
          <w:t xml:space="preserve">Read more</w:t>
        </w:r>
      </w:hyperlink>
      <w:r>
        <w:rPr>
          <w:rFonts w:ascii="Arial" w:hAnsi="Arial"/>
          <w:color w:val="000000"/>
          <w:sz w:val="19"/>
        </w:rPr>
        <w:t>)</w:t>
      </w:r>
    </w:p>
    <w:p>
      <w:pPr>
        <w:pStyle w:val="ListBullet"/>
      </w:pPr>
      <w:r>
        <w:rPr>
          <w:rFonts w:ascii="Arial" w:hAnsi="Arial"/>
          <w:b/>
          <w:color w:val="000000"/>
          <w:sz w:val="19"/>
        </w:rPr>
        <w:t>NDIS Quality and Safeguards Commission</w:t>
      </w:r>
      <w:r>
        <w:rPr>
          <w:rFonts w:ascii="Arial" w:hAnsi="Arial"/>
          <w:color w:val="000000"/>
          <w:sz w:val="19"/>
        </w:rPr>
        <w:t xml:space="preserve"> - </w:t>
      </w:r>
      <w:r>
        <w:rPr>
          <w:rFonts w:ascii="Arial" w:hAnsi="Arial"/>
          <w:color w:val="000000"/>
          <w:sz w:val="19"/>
        </w:rPr>
        <w:t>The NDIS Quality and Safeguards Commission released a new portal toolkit and a public compliance and enforcement actions search, increasing visibility of regulatory action against providers.</w:t>
      </w:r>
      <w:r>
        <w:rPr>
          <w:rFonts w:ascii="Arial" w:hAnsi="Arial"/>
          <w:color w:val="000000"/>
          <w:sz w:val="19"/>
        </w:rPr>
        <w:t xml:space="preserve"> (</w:t>
      </w:r>
      <w:hyperlink r:id="rId19">
        <w:r>
          <w:rPr>
            <w:rFonts w:ascii="Arial" w:hAnsi="Arial" w:cs="Arial"/>
            <w:color w:val="0000FF"/>
            <w:sz w:val="19"/>
            <w:szCs w:val="19"/>
            <w:u w:val="single"/>
          </w:rPr>
          <w:t xml:space="preserve">Read more</w:t>
        </w:r>
      </w:hyperlink>
      <w:r>
        <w:rPr>
          <w:rFonts w:ascii="Arial" w:hAnsi="Arial"/>
          <w:color w:val="000000"/>
          <w:sz w:val="19"/>
        </w:rPr>
        <w:t>)</w:t>
      </w:r>
    </w:p>
    <w:p>
      <w:pPr>
        <w:pStyle w:val="ListBullet"/>
      </w:pPr>
      <w:r>
        <w:rPr>
          <w:rFonts w:ascii="Arial" w:hAnsi="Arial"/>
          <w:b/>
          <w:color w:val="000000"/>
          <w:sz w:val="19"/>
        </w:rPr>
        <w:t>Department of the Treasury</w:t>
      </w:r>
      <w:r>
        <w:rPr>
          <w:rFonts w:ascii="Arial" w:hAnsi="Arial"/>
          <w:color w:val="000000"/>
          <w:sz w:val="19"/>
        </w:rPr>
        <w:t xml:space="preserve"> - </w:t>
      </w:r>
      <w:r>
        <w:rPr>
          <w:rFonts w:ascii="Arial" w:hAnsi="Arial"/>
          <w:color w:val="000000"/>
          <w:sz w:val="19"/>
        </w:rPr>
        <w:t>The Treasury opened a public consultation on tax administration, with COSBOA submitting a response calling for reforms to reduce compliance burden on small businesses.</w:t>
      </w:r>
    </w:p>
    <w:p>
      <w:pPr>
        <w:pStyle w:val="ListBullet"/>
      </w:pPr>
      <w:r>
        <w:rPr>
          <w:rFonts w:ascii="Arial" w:hAnsi="Arial"/>
          <w:b/>
          <w:color w:val="000000"/>
          <w:sz w:val="19"/>
        </w:rPr>
        <w:t>Australian Electoral Commission</w:t>
      </w:r>
      <w:r>
        <w:rPr>
          <w:rFonts w:ascii="Arial" w:hAnsi="Arial"/>
          <w:color w:val="000000"/>
          <w:sz w:val="19"/>
        </w:rPr>
        <w:t xml:space="preserve"> - </w:t>
      </w:r>
      <w:r>
        <w:rPr>
          <w:rFonts w:ascii="Arial" w:hAnsi="Arial"/>
          <w:color w:val="000000"/>
          <w:sz w:val="19"/>
        </w:rPr>
        <w:t>The Australian Electoral Commission lodged Submission 309 to the Joint Select Committee on Artificial Intelligence, setting out the AEC's position on AI risks and governance relevant to electoral…</w:t>
      </w:r>
    </w:p>
    <w:p>
      <w:pPr>
        <w:pStyle w:val="subheading_letter"/>
      </w:pPr>
      <w:r>
        <w:rPr>
          <w:rFonts w:ascii="Arial" w:hAnsi="Arial"/>
          <w:b/>
          <w:color w:val="76D2FF"/>
          <w:sz w:val="21"/>
        </w:rPr>
        <w:t>Our clients in the news</w:t>
      </w:r>
    </w:p>
    <w:p>
      <w:pPr>
        <w:pStyle w:val="body_letter"/>
      </w:pPr>
      <w:r>
        <w:rPr>
          <w:rFonts w:ascii="Arial" w:hAnsi="Arial"/>
          <w:b/>
          <w:color w:val="000000"/>
          <w:sz w:val="19"/>
        </w:rPr>
        <w:t>Victoria</w:t>
      </w:r>
    </w:p>
    <w:p>
      <w:pPr>
        <w:pStyle w:val="ListBullet"/>
      </w:pPr>
      <w:r>
        <w:rPr>
          <w:rFonts w:ascii="Arial" w:hAnsi="Arial"/>
          <w:b/>
          <w:color w:val="000000"/>
          <w:sz w:val="19"/>
        </w:rPr>
        <w:t>Essential Services Commission</w:t>
      </w:r>
      <w:r>
        <w:rPr>
          <w:rFonts w:ascii="Arial" w:hAnsi="Arial"/>
          <w:color w:val="000000"/>
          <w:sz w:val="19"/>
        </w:rPr>
        <w:t xml:space="preserve"> - </w:t>
      </w:r>
      <w:r>
        <w:rPr>
          <w:rFonts w:ascii="Arial" w:hAnsi="Arial"/>
          <w:color w:val="000000"/>
          <w:sz w:val="19"/>
        </w:rPr>
        <w:t>Midday Power Saver and new energy connection rules launched</w:t>
      </w:r>
    </w:p>
    <w:p>
      <w:pPr>
        <w:pStyle w:val="ListBullet"/>
      </w:pPr>
      <w:r>
        <w:rPr>
          <w:rFonts w:ascii="Arial" w:hAnsi="Arial"/>
          <w:b/>
          <w:color w:val="000000"/>
          <w:sz w:val="19"/>
        </w:rPr>
        <w:t>Independent Broad-based Anti-corruption Commission</w:t>
      </w:r>
      <w:r>
        <w:rPr>
          <w:rFonts w:ascii="Arial" w:hAnsi="Arial"/>
          <w:color w:val="000000"/>
          <w:sz w:val="19"/>
        </w:rPr>
        <w:t xml:space="preserve"> - </w:t>
      </w:r>
      <w:r>
        <w:rPr>
          <w:rFonts w:ascii="Arial" w:hAnsi="Arial"/>
          <w:color w:val="000000"/>
          <w:sz w:val="19"/>
        </w:rPr>
        <w:t>Scope of Victorian corruption watchdog widens, with legislative fast track</w:t>
      </w:r>
      <w:r>
        <w:rPr>
          <w:rFonts w:ascii="Arial" w:hAnsi="Arial"/>
          <w:color w:val="000000"/>
          <w:sz w:val="19"/>
        </w:rPr>
        <w:t xml:space="preserve"> (</w:t>
      </w:r>
      <w:hyperlink r:id="rId20">
        <w:r>
          <w:rPr>
            <w:rFonts w:ascii="Arial" w:hAnsi="Arial" w:cs="Arial"/>
            <w:color w:val="0000FF"/>
            <w:sz w:val="19"/>
            <w:szCs w:val="19"/>
            <w:u w:val="single"/>
          </w:rPr>
          <w:t xml:space="preserve">Read more</w:t>
        </w:r>
      </w:hyperlink>
      <w:r>
        <w:rPr>
          <w:rFonts w:ascii="Arial" w:hAnsi="Arial"/>
          <w:color w:val="000000"/>
          <w:sz w:val="19"/>
        </w:rPr>
        <w:t>)</w:t>
      </w:r>
    </w:p>
    <w:p>
      <w:pPr>
        <w:pStyle w:val="ListBullet"/>
      </w:pPr>
      <w:r>
        <w:rPr>
          <w:rFonts w:ascii="Arial" w:hAnsi="Arial"/>
          <w:b/>
          <w:color w:val="000000"/>
          <w:sz w:val="19"/>
        </w:rPr>
        <w:t>Consumer Affairs Victoria</w:t>
      </w:r>
      <w:r>
        <w:rPr>
          <w:rFonts w:ascii="Arial" w:hAnsi="Arial"/>
          <w:color w:val="000000"/>
          <w:sz w:val="19"/>
        </w:rPr>
        <w:t xml:space="preserve"> - </w:t>
      </w:r>
      <w:r>
        <w:rPr>
          <w:rFonts w:ascii="Arial" w:hAnsi="Arial"/>
          <w:color w:val="000000"/>
          <w:sz w:val="19"/>
        </w:rPr>
        <w:t>New underquoting and property sales laws take effect</w:t>
      </w:r>
    </w:p>
    <w:p>
      <w:pPr>
        <w:pStyle w:val="body_letter"/>
      </w:pPr>
      <w:r>
        <w:rPr>
          <w:rFonts w:ascii="Arial" w:hAnsi="Arial"/>
          <w:b/>
          <w:color w:val="000000"/>
          <w:sz w:val="19"/>
        </w:rPr>
        <w:t>Commonwealth</w:t>
      </w:r>
    </w:p>
    <w:p>
      <w:pPr>
        <w:pStyle w:val="ListBullet"/>
      </w:pPr>
      <w:r>
        <w:rPr>
          <w:rFonts w:ascii="Arial" w:hAnsi="Arial"/>
          <w:b/>
          <w:color w:val="000000"/>
          <w:sz w:val="19"/>
        </w:rPr>
        <w:t>Australian Securities and Investments Commission</w:t>
      </w:r>
      <w:r>
        <w:rPr>
          <w:rFonts w:ascii="Arial" w:hAnsi="Arial"/>
          <w:color w:val="000000"/>
          <w:sz w:val="19"/>
        </w:rPr>
        <w:t xml:space="preserve"> - </w:t>
      </w:r>
      <w:r>
        <w:rPr>
          <w:rFonts w:ascii="Arial" w:hAnsi="Arial"/>
          <w:color w:val="000000"/>
          <w:sz w:val="19"/>
        </w:rPr>
        <w:t>ASIC releases 2026-27 supervisory priorities</w:t>
      </w:r>
    </w:p>
    <w:p>
      <w:pPr>
        <w:pStyle w:val="ListBullet"/>
      </w:pPr>
      <w:r>
        <w:rPr>
          <w:rFonts w:ascii="Arial" w:hAnsi="Arial"/>
          <w:b/>
          <w:color w:val="000000"/>
          <w:sz w:val="19"/>
        </w:rPr>
        <w:t>Australian Prudential Regulation Authority</w:t>
      </w:r>
      <w:r>
        <w:rPr>
          <w:rFonts w:ascii="Arial" w:hAnsi="Arial"/>
          <w:color w:val="000000"/>
          <w:sz w:val="19"/>
        </w:rPr>
        <w:t xml:space="preserve"> - </w:t>
      </w:r>
      <w:r>
        <w:rPr>
          <w:rFonts w:ascii="Arial" w:hAnsi="Arial"/>
          <w:color w:val="000000"/>
          <w:sz w:val="19"/>
        </w:rPr>
        <w:t>APRA issues heightened risk warning on private credit</w:t>
      </w:r>
    </w:p>
    <w:p>
      <w:pPr>
        <w:pStyle w:val="ListBullet"/>
      </w:pPr>
      <w:r>
        <w:rPr>
          <w:rFonts w:ascii="Arial" w:hAnsi="Arial"/>
          <w:b/>
          <w:color w:val="000000"/>
          <w:sz w:val="19"/>
        </w:rPr>
        <w:t>Comcare</w:t>
      </w:r>
      <w:r>
        <w:rPr>
          <w:rFonts w:ascii="Arial" w:hAnsi="Arial"/>
          <w:color w:val="000000"/>
          <w:sz w:val="19"/>
        </w:rPr>
        <w:t xml:space="preserve"> - </w:t>
      </w:r>
      <w:r>
        <w:rPr>
          <w:rFonts w:ascii="Arial" w:hAnsi="Arial"/>
          <w:color w:val="000000"/>
          <w:sz w:val="19"/>
        </w:rPr>
        <w:t>Comcare charges Defence over naval base crane incident</w:t>
      </w:r>
    </w:p>
    <w:p>
      <w:pPr>
        <w:pStyle w:val="subheading_letter"/>
      </w:pPr>
      <w:r>
        <w:rPr>
          <w:rFonts w:ascii="Arial" w:hAnsi="Arial"/>
          <w:b/>
          <w:color w:val="76D2FF"/>
          <w:sz w:val="21"/>
        </w:rPr>
        <w:t>Regulatory Transformation: navigating emerging risks, driving AI adoption and reducing regulatory burden</w:t>
      </w:r>
    </w:p>
    <w:p>
      <w:pPr>
        <w:pStyle w:val="body_letter"/>
      </w:pPr>
      <w:r>
        <w:rPr>
          <w:rFonts w:ascii="Arial" w:hAnsi="Arial"/>
          <w:b w:val="0"/>
          <w:color w:val="000000"/>
          <w:sz w:val="19"/>
        </w:rPr>
        <w:t>Regulators are facing a shifting operating environment as technology, markets, environmental pressures and societal expectations evolve faster than traditional regulatory frameworks. Fragmented data and limited intelligence continue to make risk prioritisation difficult.</w:t>
      </w:r>
    </w:p>
    <w:p>
      <w:pPr>
        <w:pStyle w:val="body_letter"/>
      </w:pPr>
      <w:r>
        <w:rPr>
          <w:rFonts w:ascii="Arial" w:hAnsi="Arial"/>
          <w:b w:val="0"/>
          <w:color w:val="000000"/>
          <w:sz w:val="19"/>
        </w:rPr>
        <w:t>There is a growing opportunity to use advanced analytics to better target regulatory effort. Many regulators are still working to integrate data across systems, uplift analytical capability and embed insights into everyday decision-making.</w:t>
      </w:r>
    </w:p>
    <w:p>
      <w:pPr>
        <w:pStyle w:val="body_letter"/>
      </w:pPr>
      <w:r>
        <w:rPr>
          <w:rFonts w:ascii="Arial" w:hAnsi="Arial"/>
          <w:b w:val="0"/>
          <w:color w:val="000000"/>
          <w:sz w:val="19"/>
        </w:rPr>
        <w:t>AI adoption is also becoming a core regulatory transformation issue. Regulators are seeking to balance opportunities for automation and improved risk identification with the need to manage governance, transparency, bias, legal risk, privacy and public confidence.</w:t>
      </w:r>
    </w:p>
    <w:p>
      <w:pPr>
        <w:pStyle w:val="body_letter"/>
      </w:pPr>
      <w:r>
        <w:rPr>
          <w:rFonts w:ascii="Arial" w:hAnsi="Arial"/>
          <w:b w:val="0"/>
          <w:color w:val="000000"/>
          <w:sz w:val="19"/>
        </w:rPr>
        <w:t>At the same time, governments are under pressure to reduce red tape, make faster decisions and manage fiscal constraints. This is driving interest in regulatory consolidation, shared-service models and more consistent approaches to regulatory delivery, while maintaining fairness and strong outcomes.</w:t>
      </w:r>
    </w:p>
    <w:p>
      <w:pPr>
        <w:pStyle w:val="body_letter"/>
      </w:pPr>
      <w:r>
        <w:rPr>
          <w:rFonts w:ascii="Arial" w:hAnsi="Arial"/>
          <w:b/>
          <w:color w:val="000000"/>
          <w:sz w:val="19"/>
        </w:rPr>
        <w:t>Emerging risks</w:t>
      </w:r>
    </w:p>
    <w:p>
      <w:pPr>
        <w:pStyle w:val="ListBullet"/>
      </w:pPr>
      <w:r>
        <w:rPr>
          <w:rFonts w:ascii="Arial" w:hAnsi="Arial"/>
          <w:b/>
          <w:color w:val="000000"/>
          <w:sz w:val="19"/>
        </w:rPr>
        <w:t>APRA flags private credit risks for super trustees</w:t>
      </w:r>
      <w:r>
        <w:rPr>
          <w:rFonts w:ascii="Arial" w:hAnsi="Arial"/>
          <w:color w:val="000000"/>
          <w:sz w:val="19"/>
        </w:rPr>
        <w:t xml:space="preserve"> - </w:t>
      </w:r>
      <w:r>
        <w:rPr>
          <w:rFonts w:ascii="Arial" w:hAnsi="Arial"/>
          <w:color w:val="000000"/>
          <w:sz w:val="19"/>
        </w:rPr>
        <w:t>APRA has issued a heightened-risk warning on private credit, signalling proposed reforms and strict new investment limits for superannuation trustees exposed to illiquid assets.</w:t>
      </w:r>
    </w:p>
    <w:p>
      <w:pPr>
        <w:pStyle w:val="ListBullet"/>
      </w:pPr>
      <w:r>
        <w:rPr>
          <w:rFonts w:ascii="Arial" w:hAnsi="Arial"/>
          <w:b/>
          <w:color w:val="000000"/>
          <w:sz w:val="19"/>
        </w:rPr>
        <w:t>APRA reforms to hit platforms hardest</w:t>
      </w:r>
      <w:r>
        <w:rPr>
          <w:rFonts w:ascii="Arial" w:hAnsi="Arial"/>
          <w:color w:val="000000"/>
          <w:sz w:val="19"/>
        </w:rPr>
        <w:t xml:space="preserve"> - </w:t>
      </w:r>
      <w:r>
        <w:rPr>
          <w:rFonts w:ascii="Arial" w:hAnsi="Arial"/>
          <w:color w:val="000000"/>
          <w:sz w:val="19"/>
        </w:rPr>
        <w:t>APRA has indicated that its proposed prudential reforms will fall most heavily on investment platforms, requiring trustees and platform operators to reassess risk and capital frameworks.</w:t>
      </w:r>
      <w:r>
        <w:rPr>
          <w:rFonts w:ascii="Arial" w:hAnsi="Arial"/>
          <w:color w:val="000000"/>
          <w:sz w:val="19"/>
        </w:rPr>
        <w:t xml:space="preserve"> (</w:t>
      </w:r>
      <w:hyperlink r:id="rId21">
        <w:r>
          <w:rPr>
            <w:rFonts w:ascii="Arial" w:hAnsi="Arial" w:cs="Arial"/>
            <w:color w:val="0000FF"/>
            <w:sz w:val="19"/>
            <w:szCs w:val="19"/>
            <w:u w:val="single"/>
          </w:rPr>
          <w:t xml:space="preserve">Read more</w:t>
        </w:r>
      </w:hyperlink>
      <w:r>
        <w:rPr>
          <w:rFonts w:ascii="Arial" w:hAnsi="Arial"/>
          <w:color w:val="000000"/>
          <w:sz w:val="19"/>
        </w:rPr>
        <w:t>)</w:t>
      </w:r>
    </w:p>
    <w:p>
      <w:pPr>
        <w:pStyle w:val="ListBullet"/>
      </w:pPr>
      <w:r>
        <w:rPr>
          <w:rFonts w:ascii="Arial" w:hAnsi="Arial"/>
          <w:b/>
          <w:color w:val="000000"/>
          <w:sz w:val="19"/>
        </w:rPr>
        <w:t>ATSB highlights crew fatigue risk on domestic ferries</w:t>
      </w:r>
      <w:r>
        <w:rPr>
          <w:rFonts w:ascii="Arial" w:hAnsi="Arial"/>
          <w:color w:val="000000"/>
          <w:sz w:val="19"/>
        </w:rPr>
        <w:t xml:space="preserve"> - </w:t>
      </w:r>
      <w:r>
        <w:rPr>
          <w:rFonts w:ascii="Arial" w:hAnsi="Arial"/>
          <w:color w:val="000000"/>
          <w:sz w:val="19"/>
        </w:rPr>
        <w:t>The ATSB has published a safety concern report identifying crew fatigue as a systemic risk in domestic commercial passenger and vehicle ferry operations, calling for stronger fatigue management…</w:t>
      </w:r>
      <w:r>
        <w:rPr>
          <w:rFonts w:ascii="Arial" w:hAnsi="Arial"/>
          <w:color w:val="000000"/>
          <w:sz w:val="19"/>
        </w:rPr>
        <w:t xml:space="preserve"> (</w:t>
      </w:r>
      <w:hyperlink r:id="rId22">
        <w:r>
          <w:rPr>
            <w:rFonts w:ascii="Arial" w:hAnsi="Arial" w:cs="Arial"/>
            <w:color w:val="0000FF"/>
            <w:sz w:val="19"/>
            <w:szCs w:val="19"/>
            <w:u w:val="single"/>
          </w:rPr>
          <w:t xml:space="preserve">Read more</w:t>
        </w:r>
      </w:hyperlink>
      <w:r>
        <w:rPr>
          <w:rFonts w:ascii="Arial" w:hAnsi="Arial"/>
          <w:color w:val="000000"/>
          <w:sz w:val="19"/>
        </w:rPr>
        <w:t>)</w:t>
      </w:r>
    </w:p>
    <w:p>
      <w:pPr>
        <w:pStyle w:val="ListBullet"/>
      </w:pPr>
      <w:r>
        <w:rPr>
          <w:rFonts w:ascii="Arial" w:hAnsi="Arial"/>
          <w:b/>
          <w:color w:val="000000"/>
          <w:sz w:val="19"/>
        </w:rPr>
        <w:t>Port Botany train collision report flags risk management gaps</w:t>
      </w:r>
      <w:r>
        <w:rPr>
          <w:rFonts w:ascii="Arial" w:hAnsi="Arial"/>
          <w:color w:val="000000"/>
          <w:sz w:val="19"/>
        </w:rPr>
        <w:t xml:space="preserve"> - </w:t>
      </w:r>
      <w:r>
        <w:rPr>
          <w:rFonts w:ascii="Arial" w:hAnsi="Arial"/>
          <w:color w:val="000000"/>
          <w:sz w:val="19"/>
        </w:rPr>
        <w:t>The ATSB's investigation into the Port Botany freight train collision found deficiencies in risk management procedures, underscoring the need for operators to strengthen safety governance frameworks.</w:t>
      </w:r>
      <w:r>
        <w:rPr>
          <w:rFonts w:ascii="Arial" w:hAnsi="Arial"/>
          <w:color w:val="000000"/>
          <w:sz w:val="19"/>
        </w:rPr>
        <w:t xml:space="preserve"> (</w:t>
      </w:r>
      <w:hyperlink r:id="rId23">
        <w:r>
          <w:rPr>
            <w:rFonts w:ascii="Arial" w:hAnsi="Arial" w:cs="Arial"/>
            <w:color w:val="0000FF"/>
            <w:sz w:val="19"/>
            <w:szCs w:val="19"/>
            <w:u w:val="single"/>
          </w:rPr>
          <w:t xml:space="preserve">Read more</w:t>
        </w:r>
      </w:hyperlink>
      <w:r>
        <w:rPr>
          <w:rFonts w:ascii="Arial" w:hAnsi="Arial"/>
          <w:color w:val="000000"/>
          <w:sz w:val="19"/>
        </w:rPr>
        <w:t>)</w:t>
      </w:r>
    </w:p>
    <w:p>
      <w:pPr>
        <w:pStyle w:val="body_letter"/>
      </w:pPr>
      <w:r>
        <w:rPr>
          <w:rFonts w:ascii="Arial" w:hAnsi="Arial"/>
          <w:b/>
          <w:color w:val="000000"/>
          <w:sz w:val="19"/>
        </w:rPr>
        <w:t>AI adoption</w:t>
      </w:r>
    </w:p>
    <w:p>
      <w:pPr>
        <w:pStyle w:val="ListBullet"/>
      </w:pPr>
      <w:r>
        <w:rPr>
          <w:rFonts w:ascii="Arial" w:hAnsi="Arial"/>
          <w:b/>
          <w:color w:val="000000"/>
          <w:sz w:val="19"/>
        </w:rPr>
        <w:t>ABA submission to AI Joint Select Committee</w:t>
      </w:r>
      <w:r>
        <w:rPr>
          <w:rFonts w:ascii="Arial" w:hAnsi="Arial"/>
          <w:color w:val="000000"/>
          <w:sz w:val="19"/>
        </w:rPr>
        <w:t xml:space="preserve"> - </w:t>
      </w:r>
      <w:r>
        <w:rPr>
          <w:rFonts w:ascii="Arial" w:hAnsi="Arial"/>
          <w:color w:val="000000"/>
          <w:sz w:val="19"/>
        </w:rPr>
        <w:t>The Australian Banking Association has submitted to the Joint Select Committee on Artificial Intelligence, calling for a risk-proportionate regulatory framework that enables banks to adopt AI…</w:t>
      </w:r>
      <w:r>
        <w:rPr>
          <w:rFonts w:ascii="Arial" w:hAnsi="Arial"/>
          <w:color w:val="000000"/>
          <w:sz w:val="19"/>
        </w:rPr>
        <w:t xml:space="preserve"> (</w:t>
      </w:r>
      <w:hyperlink r:id="rId24">
        <w:r>
          <w:rPr>
            <w:rFonts w:ascii="Arial" w:hAnsi="Arial" w:cs="Arial"/>
            <w:color w:val="0000FF"/>
            <w:sz w:val="19"/>
            <w:szCs w:val="19"/>
            <w:u w:val="single"/>
          </w:rPr>
          <w:t xml:space="preserve">Read more</w:t>
        </w:r>
      </w:hyperlink>
      <w:r>
        <w:rPr>
          <w:rFonts w:ascii="Arial" w:hAnsi="Arial"/>
          <w:color w:val="000000"/>
          <w:sz w:val="19"/>
        </w:rPr>
        <w:t>)</w:t>
      </w:r>
    </w:p>
    <w:p>
      <w:pPr>
        <w:pStyle w:val="ListBullet"/>
      </w:pPr>
      <w:r>
        <w:rPr>
          <w:rFonts w:ascii="Arial" w:hAnsi="Arial"/>
          <w:b/>
          <w:color w:val="000000"/>
          <w:sz w:val="19"/>
        </w:rPr>
        <w:t>ASQA publishes AI principles for training providers</w:t>
      </w:r>
      <w:r>
        <w:rPr>
          <w:rFonts w:ascii="Arial" w:hAnsi="Arial"/>
          <w:color w:val="000000"/>
          <w:sz w:val="19"/>
        </w:rPr>
        <w:t xml:space="preserve"> - </w:t>
      </w:r>
      <w:r>
        <w:rPr>
          <w:rFonts w:ascii="Arial" w:hAnsi="Arial"/>
          <w:color w:val="000000"/>
          <w:sz w:val="19"/>
        </w:rPr>
        <w:t>ASQA has released AI principles for registered training organisations, setting out governance and integrity expectations for AI use in early childhood educator training and assessment.</w:t>
      </w:r>
      <w:r>
        <w:rPr>
          <w:rFonts w:ascii="Arial" w:hAnsi="Arial"/>
          <w:color w:val="000000"/>
          <w:sz w:val="19"/>
        </w:rPr>
        <w:t xml:space="preserve"> (</w:t>
      </w:r>
      <w:hyperlink r:id="rId25">
        <w:r>
          <w:rPr>
            <w:rFonts w:ascii="Arial" w:hAnsi="Arial" w:cs="Arial"/>
            <w:color w:val="0000FF"/>
            <w:sz w:val="19"/>
            <w:szCs w:val="19"/>
            <w:u w:val="single"/>
          </w:rPr>
          <w:t xml:space="preserve">Read more</w:t>
        </w:r>
      </w:hyperlink>
      <w:r>
        <w:rPr>
          <w:rFonts w:ascii="Arial" w:hAnsi="Arial"/>
          <w:color w:val="000000"/>
          <w:sz w:val="19"/>
        </w:rPr>
        <w:t>)</w:t>
      </w:r>
    </w:p>
    <w:p>
      <w:pPr>
        <w:pStyle w:val="ListBullet"/>
      </w:pPr>
      <w:r>
        <w:rPr>
          <w:rFonts w:ascii="Arial" w:hAnsi="Arial"/>
          <w:b/>
          <w:color w:val="000000"/>
          <w:sz w:val="19"/>
        </w:rPr>
        <w:t>CASA consults on drone operations above 400 ft</w:t>
      </w:r>
      <w:r>
        <w:rPr>
          <w:rFonts w:ascii="Arial" w:hAnsi="Arial"/>
          <w:color w:val="000000"/>
          <w:sz w:val="19"/>
        </w:rPr>
        <w:t xml:space="preserve"> - </w:t>
      </w:r>
      <w:r>
        <w:rPr>
          <w:rFonts w:ascii="Arial" w:hAnsi="Arial"/>
          <w:color w:val="000000"/>
          <w:sz w:val="19"/>
        </w:rPr>
        <w:t>CASA has used stakeholder feedback to shape a new regulatory framework for drone operations above 400 feet, balancing innovation enablement with airspace safety and risk management requirements.</w:t>
      </w:r>
      <w:r>
        <w:rPr>
          <w:rFonts w:ascii="Arial" w:hAnsi="Arial"/>
          <w:color w:val="000000"/>
          <w:sz w:val="19"/>
        </w:rPr>
        <w:t xml:space="preserve"> (</w:t>
      </w:r>
      <w:hyperlink r:id="rId26">
        <w:r>
          <w:rPr>
            <w:rFonts w:ascii="Arial" w:hAnsi="Arial" w:cs="Arial"/>
            <w:color w:val="0000FF"/>
            <w:sz w:val="19"/>
            <w:szCs w:val="19"/>
            <w:u w:val="single"/>
          </w:rPr>
          <w:t xml:space="preserve">Read more</w:t>
        </w:r>
      </w:hyperlink>
      <w:r>
        <w:rPr>
          <w:rFonts w:ascii="Arial" w:hAnsi="Arial"/>
          <w:color w:val="000000"/>
          <w:sz w:val="19"/>
        </w:rPr>
        <w:t>)</w:t>
      </w:r>
    </w:p>
    <w:p>
      <w:pPr>
        <w:pStyle w:val="body_letter"/>
      </w:pPr>
      <w:r>
        <w:rPr>
          <w:rFonts w:ascii="Arial" w:hAnsi="Arial"/>
          <w:b/>
          <w:color w:val="000000"/>
          <w:sz w:val="19"/>
        </w:rPr>
        <w:t>Regulatory burden</w:t>
      </w:r>
    </w:p>
    <w:p>
      <w:pPr>
        <w:pStyle w:val="ListBullet"/>
      </w:pPr>
      <w:r>
        <w:rPr>
          <w:rFonts w:ascii="Arial" w:hAnsi="Arial"/>
          <w:b/>
          <w:color w:val="000000"/>
          <w:sz w:val="19"/>
        </w:rPr>
        <w:t>ASIC releases 2026-27 supervisory priorities</w:t>
      </w:r>
      <w:r>
        <w:rPr>
          <w:rFonts w:ascii="Arial" w:hAnsi="Arial"/>
          <w:color w:val="000000"/>
          <w:sz w:val="19"/>
        </w:rPr>
        <w:t xml:space="preserve"> - </w:t>
      </w:r>
      <w:r>
        <w:rPr>
          <w:rFonts w:ascii="Arial" w:hAnsi="Arial"/>
          <w:color w:val="000000"/>
          <w:sz w:val="19"/>
        </w:rPr>
        <w:t>ASIC has published its 2026-27 supervisory priorities to give industry greater certainty and support a better regulation agenda, focusing enforcement resources on consumer harm and market integrity.</w:t>
      </w:r>
      <w:r>
        <w:rPr>
          <w:rFonts w:ascii="Arial" w:hAnsi="Arial"/>
          <w:color w:val="000000"/>
          <w:sz w:val="19"/>
        </w:rPr>
        <w:t xml:space="preserve"> (</w:t>
      </w:r>
      <w:hyperlink r:id="rId27">
        <w:r>
          <w:rPr>
            <w:rFonts w:ascii="Arial" w:hAnsi="Arial" w:cs="Arial"/>
            <w:color w:val="0000FF"/>
            <w:sz w:val="19"/>
            <w:szCs w:val="19"/>
            <w:u w:val="single"/>
          </w:rPr>
          <w:t xml:space="preserve">Read more</w:t>
        </w:r>
      </w:hyperlink>
      <w:r>
        <w:rPr>
          <w:rFonts w:ascii="Arial" w:hAnsi="Arial"/>
          <w:color w:val="000000"/>
          <w:sz w:val="19"/>
        </w:rPr>
        <w:t>)</w:t>
      </w:r>
    </w:p>
    <w:p>
      <w:pPr>
        <w:pStyle w:val="ListBullet"/>
      </w:pPr>
      <w:r>
        <w:rPr>
          <w:rFonts w:ascii="Arial" w:hAnsi="Arial"/>
          <w:b/>
          <w:color w:val="000000"/>
          <w:sz w:val="19"/>
        </w:rPr>
        <w:t>Financial Advice Reform Bill advances</w:t>
      </w:r>
      <w:r>
        <w:rPr>
          <w:rFonts w:ascii="Arial" w:hAnsi="Arial"/>
          <w:color w:val="000000"/>
          <w:sz w:val="19"/>
        </w:rPr>
        <w:t xml:space="preserve"> - </w:t>
      </w:r>
      <w:r>
        <w:rPr>
          <w:rFonts w:ascii="Arial" w:hAnsi="Arial"/>
          <w:color w:val="000000"/>
          <w:sz w:val="19"/>
        </w:rPr>
        <w:t>The FSC has welcomed the Financial Advice Reform Bill as a meaningful step toward reducing compliance costs and broadening access to affordable financial advice for Australian consumers.</w:t>
      </w:r>
      <w:r>
        <w:rPr>
          <w:rFonts w:ascii="Arial" w:hAnsi="Arial"/>
          <w:color w:val="000000"/>
          <w:sz w:val="19"/>
        </w:rPr>
        <w:t xml:space="preserve"> (</w:t>
      </w:r>
      <w:hyperlink r:id="rId28">
        <w:r>
          <w:rPr>
            <w:rFonts w:ascii="Arial" w:hAnsi="Arial" w:cs="Arial"/>
            <w:color w:val="0000FF"/>
            <w:sz w:val="19"/>
            <w:szCs w:val="19"/>
            <w:u w:val="single"/>
          </w:rPr>
          <w:t xml:space="preserve">Read more</w:t>
        </w:r>
      </w:hyperlink>
      <w:r>
        <w:rPr>
          <w:rFonts w:ascii="Arial" w:hAnsi="Arial"/>
          <w:color w:val="000000"/>
          <w:sz w:val="19"/>
        </w:rPr>
        <w:t>)</w:t>
      </w:r>
    </w:p>
    <w:p>
      <w:pPr>
        <w:pStyle w:val="ListBullet"/>
      </w:pPr>
      <w:r>
        <w:rPr>
          <w:rFonts w:ascii="Arial" w:hAnsi="Arial"/>
          <w:b/>
          <w:color w:val="000000"/>
          <w:sz w:val="19"/>
        </w:rPr>
        <w:t>Surcharge ban reshapes bank rewards programs</w:t>
      </w:r>
      <w:r>
        <w:rPr>
          <w:rFonts w:ascii="Arial" w:hAnsi="Arial"/>
          <w:color w:val="000000"/>
          <w:sz w:val="19"/>
        </w:rPr>
        <w:t xml:space="preserve"> - </w:t>
      </w:r>
      <w:r>
        <w:rPr>
          <w:rFonts w:ascii="Arial" w:hAnsi="Arial"/>
          <w:color w:val="000000"/>
          <w:sz w:val="19"/>
        </w:rPr>
        <w:t>The federal surcharge ban has prompted major banks to cut rewards programs and complimentary travel insurance as reduced interchange fee revenue flows through to product design.</w:t>
      </w:r>
      <w:r>
        <w:rPr>
          <w:rFonts w:ascii="Arial" w:hAnsi="Arial"/>
          <w:color w:val="000000"/>
          <w:sz w:val="19"/>
        </w:rPr>
        <w:t xml:space="preserve"> (</w:t>
      </w:r>
      <w:hyperlink r:id="rId29">
        <w:r>
          <w:rPr>
            <w:rFonts w:ascii="Arial" w:hAnsi="Arial" w:cs="Arial"/>
            <w:color w:val="0000FF"/>
            <w:sz w:val="19"/>
            <w:szCs w:val="19"/>
            <w:u w:val="single"/>
          </w:rPr>
          <w:t xml:space="preserve">Read more</w:t>
        </w:r>
      </w:hyperlink>
      <w:r>
        <w:rPr>
          <w:rFonts w:ascii="Arial" w:hAnsi="Arial"/>
          <w:color w:val="000000"/>
          <w:sz w:val="19"/>
        </w:rPr>
        <w:t>)</w:t>
      </w:r>
    </w:p>
    <w:p>
      <w:pPr>
        <w:pStyle w:val="ListBullet"/>
      </w:pPr>
      <w:r>
        <w:rPr>
          <w:rFonts w:ascii="Arial" w:hAnsi="Arial"/>
          <w:b/>
          <w:color w:val="000000"/>
          <w:sz w:val="19"/>
        </w:rPr>
        <w:t>New payment models face broader licensing regime</w:t>
      </w:r>
      <w:r>
        <w:rPr>
          <w:rFonts w:ascii="Arial" w:hAnsi="Arial"/>
          <w:color w:val="000000"/>
          <w:sz w:val="19"/>
        </w:rPr>
        <w:t xml:space="preserve"> - </w:t>
      </w:r>
      <w:r>
        <w:rPr>
          <w:rFonts w:ascii="Arial" w:hAnsi="Arial"/>
          <w:color w:val="000000"/>
          <w:sz w:val="19"/>
        </w:rPr>
        <w:t>Proposed reforms will extend licensing obligations to a wider range of payment service providers in Australia, increasing compliance obligations for fintechs and non-bank payment operators.</w:t>
      </w:r>
      <w:r>
        <w:rPr>
          <w:rFonts w:ascii="Arial" w:hAnsi="Arial"/>
          <w:color w:val="000000"/>
          <w:sz w:val="19"/>
        </w:rPr>
        <w:t xml:space="preserve"> (</w:t>
      </w:r>
      <w:hyperlink r:id="rId30">
        <w:r>
          <w:rPr>
            <w:rFonts w:ascii="Arial" w:hAnsi="Arial" w:cs="Arial"/>
            <w:color w:val="0000FF"/>
            <w:sz w:val="19"/>
            <w:szCs w:val="19"/>
            <w:u w:val="single"/>
          </w:rPr>
          <w:t xml:space="preserve">Read more</w:t>
        </w:r>
      </w:hyperlink>
      <w:r>
        <w:rPr>
          <w:rFonts w:ascii="Arial" w:hAnsi="Arial"/>
          <w:color w:val="000000"/>
          <w:sz w:val="19"/>
        </w:rPr>
        <w:t>)</w:t>
      </w:r>
    </w:p>
    <w:p>
      <w:pPr>
        <w:pStyle w:val="subheading_letter"/>
      </w:pPr>
      <w:r>
        <w:rPr>
          <w:rFonts w:ascii="Arial" w:hAnsi="Arial"/>
          <w:b/>
          <w:color w:val="76D2FF"/>
          <w:sz w:val="21"/>
        </w:rPr>
        <w:t>Training, conferences, webinars &amp; in-person sessions</w:t>
      </w:r>
    </w:p>
    <w:p>
      <w:pPr>
        <w:pStyle w:val="body_letter"/>
      </w:pPr>
      <w:r>
        <w:rPr>
          <w:rFonts w:ascii="Arial" w:hAnsi="Arial"/>
          <w:i/>
          <w:color w:val="666666"/>
          <w:sz w:val="19"/>
        </w:rPr>
        <w:t>No upcoming events in the next four weeks.</w:t>
      </w:r>
    </w:p>
    <w:p>
      <w:pPr>
        <w:pStyle w:val="subheading_letter"/>
      </w:pPr>
      <w:r>
        <w:rPr>
          <w:rFonts w:ascii="Arial" w:hAnsi="Arial"/>
          <w:b/>
          <w:color w:val="76D2FF"/>
          <w:sz w:val="21"/>
        </w:rPr>
        <w:t>Cross-sector synthesis (hub-wide)</w:t>
      </w:r>
    </w:p>
    <w:p>
      <w:pPr>
        <w:pStyle w:val="body_letter"/>
      </w:pPr>
      <w:r>
        <w:rPr>
          <w:rFonts w:ascii="Arial" w:hAnsi="Arial"/>
          <w:b w:val="0"/>
          <w:color w:val="000000"/>
          <w:sz w:val="19"/>
        </w:rPr>
        <w:t>The fortnight is shaped by three converging regulator investment themes: enforcement escalation across ASIC, TEQSA, AUSTRAC, and ACQSC converting supervisory intent into active action; AI governance acceleration driven by a Commonwealth health-system breach, the AEC inquiry, ABA submission, and ASQA principles creating a cross-sector AI risk mandate; and structural reform execution with the Financial Advice Reform Bill, NDIS sustainability redesign, defence procurement reset, and AUKUS leasing alternatives all shifting from policy to implementation. ASIC's 2026-27 supervisory priorities and life insurance sector paper name specific product governance and sustainable finance disclosure obligations that will drive near-term compliance uplift demand across banks, platforms, and insurers. APRA's simultaneous private credit risk warning and proposed reforms expected to land hardest on platform operators create a two-front assurance and risk advisory mandate for mid-tier ADIs and superannuation trustees, the target list is now named. The ATSB's Port Botany findings and AMSA's emissions reduction plan signal transport regulators converting investigation outcomes into enforceable standards, opening the SMS uplift and maritime compliance readiness window before deadlines crystallise. TEQSA's updated Compliance and Enforcement Policy paired with active enforcement against OneGlobe and Opulence marks a structural shift in higher education regulatory risk that peers of those providers must now address. KPMG should concentrate BD effort this fortnight on financial services platform operators, rail and maritime clients, mid-tier higher education providers, and Commonwealth health and defence clients, all facing live compliance deadlines or active regulatory scrutiny.</w:t>
      </w:r>
    </w:p>
    <w:p>
      <w:pPr>
        <w:pStyle w:val="body_letter"/>
      </w:pPr>
      <w:r>
        <w:rPr>
          <w:rFonts w:ascii="Arial" w:hAnsi="Arial"/>
          <w:b/>
          <w:color w:val="000000"/>
          <w:sz w:val="19"/>
        </w:rPr>
        <w:t>Business development priorities</w:t>
      </w:r>
    </w:p>
    <w:p>
      <w:pPr>
        <w:pStyle w:val="ListBullet"/>
      </w:pPr>
      <w:r>
        <w:rPr>
          <w:rFonts w:ascii="Arial" w:hAnsi="Arial"/>
          <w:color w:val="000000"/>
          <w:sz w:val="19"/>
        </w:rPr>
        <w:t>Brief the financial services regulatory advisory team to approach the top-15 platform operators and superannuation trustees this week with a targeted APRA/ASIC compliance gap assessment mapped to the 2026-27 supervisory priorities and the proposed platform reforms.</w:t>
      </w:r>
    </w:p>
    <w:p>
      <w:pPr>
        <w:pStyle w:val="ListBullet"/>
      </w:pPr>
      <w:r>
        <w:rPr>
          <w:rFonts w:ascii="Arial" w:hAnsi="Arial"/>
          <w:color w:val="000000"/>
          <w:sz w:val="19"/>
        </w:rPr>
        <w:t>Activate the credit risk advisory bench to convert APRA's named private credit warning into a structured credit-risk framework review offer for mid-tier ADIs and super funds with material private credit exposure.</w:t>
      </w:r>
    </w:p>
    <w:p>
      <w:pPr>
        <w:pStyle w:val="ListBullet"/>
      </w:pPr>
      <w:r>
        <w:rPr>
          <w:rFonts w:ascii="Arial" w:hAnsi="Arial"/>
          <w:color w:val="000000"/>
          <w:sz w:val="19"/>
        </w:rPr>
        <w:t>Dispatch the transport safety practice to Sydney Trains, Australian Rail Track Corporation, and Patrick Terminals with a Safety Management System gap assessment anchored to the ATSB's Port Botany procedural findings before the regulator formalises its follow-up expectations.</w:t>
      </w:r>
    </w:p>
    <w:p>
      <w:pPr>
        <w:pStyle w:val="ListBullet"/>
      </w:pPr>
      <w:r>
        <w:rPr>
          <w:rFonts w:ascii="Arial" w:hAnsi="Arial"/>
          <w:color w:val="000000"/>
          <w:sz w:val="19"/>
        </w:rPr>
        <w:t>Convene the higher education practice to pipeline the 50 closest peers of OneGlobe and Opulence for an urgent TEQSA registration risk review, positioning KPMG as the go-to adviser for providers facing the updated Compliance and Enforcement Policy.</w:t>
      </w:r>
    </w:p>
    <w:p>
      <w:pPr>
        <w:pStyle w:val="ListBullet"/>
      </w:pPr>
      <w:r>
        <w:rPr>
          <w:rFonts w:ascii="Arial" w:hAnsi="Arial"/>
          <w:color w:val="000000"/>
          <w:sz w:val="19"/>
        </w:rPr>
        <w:t>Accelerate the AI risk advisory offer into health, financial services, and education simultaneously, the OpenAI health breach, ABA inquiry submission, and ASQA AI principles have created a rare moment where Commonwealth and state clients in three sectors are seeking the same capability concurrently.</w:t>
      </w:r>
    </w:p>
    <w:p>
      <w:pPr>
        <w:pStyle w:val="body_letter"/>
      </w:pPr>
      <w:r>
        <w:rPr>
          <w:rFonts w:ascii="Arial" w:hAnsi="Arial"/>
          <w:b/>
          <w:color w:val="000000"/>
          <w:sz w:val="19"/>
        </w:rPr>
        <w:t>Implications for clients</w:t>
      </w:r>
    </w:p>
    <w:p>
      <w:pPr>
        <w:pStyle w:val="ListBullet"/>
      </w:pPr>
      <w:r>
        <w:rPr>
          <w:rFonts w:ascii="Arial" w:hAnsi="Arial"/>
          <w:color w:val="000000"/>
          <w:sz w:val="19"/>
        </w:rPr>
        <w:t>Brief the financial services regulatory advisory team to approach the top-15 platform operators and superannuation trustees this week with a targeted APRA/ASIC compliance gap assessment mapped to the 2026-27 supervisory priorities and the proposed platform reforms.</w:t>
      </w:r>
    </w:p>
    <w:p>
      <w:pPr>
        <w:pStyle w:val="ListBullet"/>
      </w:pPr>
      <w:r>
        <w:rPr>
          <w:rFonts w:ascii="Arial" w:hAnsi="Arial"/>
          <w:color w:val="000000"/>
          <w:sz w:val="19"/>
        </w:rPr>
        <w:t>Activate the credit risk advisory bench to convert APRA's named private credit warning into a structured credit-risk framework review offer for mid-tier ADIs and super funds with material private credit exposure.</w:t>
      </w:r>
    </w:p>
    <w:p>
      <w:pPr>
        <w:pStyle w:val="ListBullet"/>
      </w:pPr>
      <w:r>
        <w:rPr>
          <w:rFonts w:ascii="Arial" w:hAnsi="Arial"/>
          <w:color w:val="000000"/>
          <w:sz w:val="19"/>
        </w:rPr>
        <w:t>Dispatch the transport safety practice to Sydney Trains, Australian Rail Track Corporation, and Patrick Terminals with a Safety Management System gap assessment anchored to the ATSB's Port Botany procedural findings before the regulator formalises its follow-up expectations.</w:t>
      </w:r>
    </w:p>
    <w:p>
      <w:pPr>
        <w:pStyle w:val="ListBullet"/>
      </w:pPr>
      <w:r>
        <w:rPr>
          <w:rFonts w:ascii="Arial" w:hAnsi="Arial"/>
          <w:color w:val="000000"/>
          <w:sz w:val="19"/>
        </w:rPr>
        <w:t>Convene the higher education practice to pipeline the 50 closest peers of OneGlobe and Opulence for an urgent TEQSA registration risk review, positioning KPMG as the go-to adviser for providers facing the updated Compliance and Enforcement Policy.</w:t>
      </w:r>
    </w:p>
    <w:p>
      <w:pPr>
        <w:pStyle w:val="ListBullet"/>
      </w:pPr>
      <w:r>
        <w:rPr>
          <w:rFonts w:ascii="Arial" w:hAnsi="Arial"/>
          <w:color w:val="000000"/>
          <w:sz w:val="19"/>
        </w:rPr>
        <w:t>Accelerate the AI risk advisory offer into health, financial services, and education simultaneously, the OpenAI health breach, ABA inquiry submission, and ASQA AI principles have created a rare moment where Commonwealth and state clients in three sectors are seeking the same capability concurrently.</w:t>
      </w:r>
    </w:p>
    <w:p>
      <w:pPr>
        <w:pStyle w:val="subheading_letter"/>
      </w:pPr>
      <w:r>
        <w:rPr>
          <w:rFonts w:ascii="Arial" w:hAnsi="Arial"/>
          <w:b/>
          <w:color w:val="76D2FF"/>
          <w:sz w:val="21"/>
        </w:rPr>
        <w:t>Sector signals</w:t>
      </w:r>
    </w:p>
    <w:p>
      <w:pPr>
        <w:pStyle w:val="body_letter"/>
      </w:pPr>
      <w:r>
        <w:rPr>
          <w:rFonts w:ascii="Arial" w:hAnsi="Arial"/>
          <w:b/>
          <w:color w:val="000000"/>
          <w:sz w:val="19"/>
        </w:rPr>
        <w:t>Public Sector</w:t>
      </w:r>
    </w:p>
    <w:p>
      <w:pPr>
        <w:pStyle w:val="body_letter"/>
      </w:pPr>
      <w:r>
        <w:rPr>
          <w:rFonts w:ascii="Arial" w:hAnsi="Arial"/>
          <w:b w:val="0"/>
          <w:color w:val="000000"/>
          <w:sz w:val="19"/>
        </w:rPr>
        <w:t>The AEC's submission to the Joint Select Committee on AI signals active Commonwealth investment in election-integrity and AI-governance capability, creating a timely entry for KPMG's AI risk and digital-advisory bench ahead of the committee's reporting window. Consumer Affairs Victoria's simultaneous release of new underquoting legislation and industry Q&amp;A guidance indicates a regulatory implementation sprint, a proven pull-through for process design, compliance-uplift, and change-management engagements with state consumer regulators. COSBOA's Treasury tax-administration submission and the IBCC draft-law criticism from the business community together mark a regulatory-complexity pressure point where KPMG can position reform design, stakeholder facilitation, and legislative-impact assessment capability. The WA government's public intervention on the Productivity Commission's GST review opens a state fiscal-strategy advisory angle, with the robodebt compensation dispute flagging ongoing Commonwealth liability-management and welfare-administration reform demand.</w:t>
      </w:r>
    </w:p>
    <w:p>
      <w:pPr>
        <w:pStyle w:val="body_letter"/>
      </w:pPr>
      <w:r>
        <w:rPr>
          <w:rFonts w:ascii="Arial" w:hAnsi="Arial"/>
          <w:b/>
          <w:color w:val="000000"/>
          <w:sz w:val="19"/>
        </w:rPr>
        <w:t>Financial Services</w:t>
      </w:r>
    </w:p>
    <w:p>
      <w:pPr>
        <w:pStyle w:val="body_letter"/>
      </w:pPr>
      <w:r>
        <w:rPr>
          <w:rFonts w:ascii="Arial" w:hAnsi="Arial"/>
          <w:b w:val="0"/>
          <w:color w:val="000000"/>
          <w:sz w:val="19"/>
        </w:rPr>
        <w:t>ASIC's release of its 2026-27 supervisory priorities signals a concentrated focus on product governance, sustainable finance disclosure, and market integrity that will drive near-term compliance uplift demand across banks, insurers, and platforms; the accompanying life insurance sector priorities paper sharpens the target list further. APRA's public warning on heightened private credit risk, combined with its proposed reforms expected to fall hardest on platform operators, creates a two-front assurance and risk advisory opening, particularly for mid-tier ADIs and superannuation trustees still maturing their credit-risk frameworks. The Financial Advice Reform Bill, welcomed by the FSC, moves quality-of-advice implementation from policy to execution, generating demand for operating-model and training support; the superannuation heatmap release simultaneously pressures underperforming funds to act. The ABA's AI inquiry submission and the new payment-services licensing regime round out a fortnight heavy with structural-change signals that favour KPMG's regulatory implementation and technology-risk offerings.</w:t>
      </w:r>
    </w:p>
    <w:p>
      <w:pPr>
        <w:pStyle w:val="body_letter"/>
      </w:pPr>
      <w:r>
        <w:rPr>
          <w:rFonts w:ascii="Arial" w:hAnsi="Arial"/>
          <w:b/>
          <w:color w:val="000000"/>
          <w:sz w:val="19"/>
        </w:rPr>
        <w:t>Health, Ageing &amp; Human Services</w:t>
      </w:r>
    </w:p>
    <w:p>
      <w:pPr>
        <w:pStyle w:val="body_letter"/>
      </w:pPr>
      <w:r>
        <w:rPr>
          <w:rFonts w:ascii="Arial" w:hAnsi="Arial"/>
          <w:b w:val="0"/>
          <w:color w:val="000000"/>
          <w:sz w:val="19"/>
        </w:rPr>
        <w:t>The ACQSC has escalated from prudential review directly to investigation of a Support at Home provider, signalling the Commission is operationalising its new enforcement powers under the Aged Care Act, providers facing registration renewal via the AECT are now a live compliance risk pool. Concurrently, a government AI-governance response has been triggered by an OpenAI bot breach of a health system database, accelerating federal action on AI risk frameworks in health and creating an immediate advisory opening. The NDIS Commission is investing in digital capability (new portal toolkit, First Nations resources hub) while ABC reporting on a serious complaints backlog exposes a regulator under operational strain, and the NDIS sustainability reform consultation signals a structural redesign of the scheme with significant advisory demand attached. Ahpra's psychology workforce reform advancing to its next phase adds a workforce planning and scope-of-practice advisory angle across the primary care pipeline.</w:t>
      </w:r>
    </w:p>
    <w:p>
      <w:pPr>
        <w:pStyle w:val="body_letter"/>
      </w:pPr>
      <w:r>
        <w:rPr>
          <w:rFonts w:ascii="Arial" w:hAnsi="Arial"/>
          <w:b/>
          <w:color w:val="000000"/>
          <w:sz w:val="19"/>
        </w:rPr>
        <w:t>Energy, Mining &amp; Property</w:t>
      </w:r>
    </w:p>
    <w:p>
      <w:pPr>
        <w:pStyle w:val="body_letter"/>
      </w:pPr>
      <w:r>
        <w:rPr>
          <w:rFonts w:ascii="Arial" w:hAnsi="Arial"/>
          <w:b w:val="0"/>
          <w:color w:val="000000"/>
          <w:sz w:val="19"/>
        </w:rPr>
        <w:t>The AER's release of its Strategic Plan (Approach 7) and the Powerlink transmission determination PTRM signal active investment in regulatory methodology and long-cycle infrastructure resets, creating immediate positioning opportunities for regulatory economics and capex advisory. The AER's commissioning of Deakin University for a 2026 capital expenditure model review confirms the regulator is actively seeking independent technical validation, a direct pull-through for KPMG's infrastructure and regulatory advisory bench. Two VEU accreditation enforcement actions by the ESC (Go Green Solution, Ruhi Pty Ltd) indicate heightened compliance scrutiny in Victorian energy efficiency programs, creating demand for scheme-integrity and compliance-uplift engagements with accredited providers. The AEMC's Package 2 network regulation review and WA's developing AES framework together flag two parallel reform processes where KPMG can position submissions and framework-design advisory to both regulators and network businesses.</w:t>
      </w:r>
    </w:p>
    <w:p>
      <w:pPr>
        <w:pStyle w:val="body_letter"/>
      </w:pPr>
      <w:r>
        <w:rPr>
          <w:rFonts w:ascii="Arial" w:hAnsi="Arial"/>
          <w:b/>
          <w:color w:val="000000"/>
          <w:sz w:val="19"/>
        </w:rPr>
        <w:t>National Security &amp; Justice</w:t>
      </w:r>
    </w:p>
    <w:p>
      <w:pPr>
        <w:pStyle w:val="body_letter"/>
      </w:pPr>
      <w:r>
        <w:rPr>
          <w:rFonts w:ascii="Arial" w:hAnsi="Arial"/>
          <w:b w:val="0"/>
          <w:color w:val="000000"/>
          <w:sz w:val="19"/>
        </w:rPr>
        <w:t>AUSTRAC has shifted into active enforcement mode, issuing infringement notices to non-enrolled businesses while simultaneously releasing a cluster of CDD, SMR-quality, and money-mule guidance that signals a regulated community it regards as underprepared. Taken alongside the Home Affairs consultation on Horizon 2 of the 2023-2030 Cyber Security Strategy, the fortnight presents two distinct advisory entry points: compliance remediation for entities newly in scope under AML/CTF reform, and policy-shaping and cyber-strategy advisory for Commonwealth clients. Concurrent police-oversight reviews in NSW and Tasmania, both pushing for independent watchdog powers against government resistance, indicate a structural integrity-governance reform cycle that will require framework design, capability uplift, and independent assurance. The AFP's $9 million foreign bribery settlement adds a corporate anti-corruption thread, reinforcing demand for third-party risk and anti-bribery program reviews in defence and infrastructure supply chains.</w:t>
      </w:r>
    </w:p>
    <w:p>
      <w:pPr>
        <w:pStyle w:val="body_letter"/>
      </w:pPr>
      <w:r>
        <w:rPr>
          <w:rFonts w:ascii="Arial" w:hAnsi="Arial"/>
          <w:b/>
          <w:color w:val="000000"/>
          <w:sz w:val="19"/>
        </w:rPr>
        <w:t>Defence</w:t>
      </w:r>
    </w:p>
    <w:p>
      <w:pPr>
        <w:pStyle w:val="body_letter"/>
      </w:pPr>
      <w:r>
        <w:rPr>
          <w:rFonts w:ascii="Arial" w:hAnsi="Arial"/>
          <w:b w:val="0"/>
          <w:color w:val="000000"/>
          <w:sz w:val="19"/>
        </w:rPr>
        <w:t>Australia's defence posture is under active reconstruction on two simultaneous fronts: the government is building export frameworks for advanced lethal systems while defending export-control gaps exposed by the F-35 supply-chain controversy, generating concurrent demand for sovereign industry advisory and compliance uplift engagements. The abrupt termination of a 26-year Defence contract signals a procurement reform cycle where transition advisory and contract-management capability will be in demand, while AUKUS lease developments are introducing structural alternatives to the submarine acquisition model that will reshape capability design and procurement frameworks over the next 12-18 months. KPMG's active defence positioning, notwithstanding Greens political scrutiny of a current engagement, provides a credible platform to pursue export-compliance, procurement transformation, and sovereign capability work across the Defence client base, with fuel-security infrastructure adding an energy-defence nexus angle into the pipeline.</w:t>
      </w:r>
    </w:p>
    <w:p>
      <w:pPr>
        <w:pStyle w:val="body_letter"/>
      </w:pPr>
      <w:r>
        <w:rPr>
          <w:rFonts w:ascii="Arial" w:hAnsi="Arial"/>
          <w:b/>
          <w:color w:val="000000"/>
          <w:sz w:val="19"/>
        </w:rPr>
        <w:t>Transport</w:t>
      </w:r>
    </w:p>
    <w:p>
      <w:pPr>
        <w:pStyle w:val="body_letter"/>
      </w:pPr>
      <w:r>
        <w:rPr>
          <w:rFonts w:ascii="Arial" w:hAnsi="Arial"/>
          <w:b w:val="0"/>
          <w:color w:val="000000"/>
          <w:sz w:val="19"/>
        </w:rPr>
        <w:t>ATSB's investigation into the Port Botany train collision, with findings centred on risk management procedure gaps, signals active regulatory scrutiny of rail operator safety management systems and creates a direct pull-through for assurance and SMS uplift engagements with rail and port-authority clients. AMSA's emissions reduction plan and the MO503 certificate-of-survey consultation close-out indicate the regulator is moving into implementation mode on two fronts simultaneously, pointing to near-term compliance readiness demand from domestic maritime operators. CASA's consultation outcome on drone operations above 400 ft confirms a regulatory framework is being finalised, opening a structured advisory window for operators and infrastructure owners needing airspace integration guidance. Across the three agencies, the common signal is regulators converting policy intent into enforceable standards, the advisory window for frameworks, gap assessments, and capability uplift is now, before compliance deadlines crystallise.</w:t>
      </w:r>
    </w:p>
    <w:p>
      <w:pPr>
        <w:pStyle w:val="body_letter"/>
      </w:pPr>
      <w:r>
        <w:rPr>
          <w:rFonts w:ascii="Arial" w:hAnsi="Arial"/>
          <w:b/>
          <w:color w:val="000000"/>
          <w:sz w:val="19"/>
        </w:rPr>
        <w:t>Education</w:t>
      </w:r>
    </w:p>
    <w:p>
      <w:pPr>
        <w:pStyle w:val="body_letter"/>
      </w:pPr>
      <w:r>
        <w:rPr>
          <w:rFonts w:ascii="Arial" w:hAnsi="Arial"/>
          <w:b w:val="0"/>
          <w:color w:val="000000"/>
          <w:sz w:val="19"/>
        </w:rPr>
        <w:t>TEQSA is sharpening its enforcement posture across higher education simultaneously on two fronts: an updated Compliance and Enforcement Policy has been released alongside active enforcement actions against OneGlobe and Opulence Institutes of Higher Education, signalling that registration risk for smaller and mid-tier providers is materially elevated. ASQA is extending governance scrutiny to RTO ownership structures and financial disclosure, and has published AI principles that set expectations for how training organisations deploy technology, including in the early childhood educator pipeline. The ACT Government's CIT governance discussion paper adds a state-government dimension, indicating appetite for structural reform of publicly-owned VET institutions. Collectively these moves create pull-through demand across governance and ownership advisory, compliance uplift, and AI-readiness work for both VET and higher education clients.</w:t>
      </w:r>
    </w:p>
    <w:p>
      <w:pPr>
        <w:pStyle w:val="subheading_letter"/>
      </w:pPr>
      <w:r>
        <w:rPr>
          <w:rFonts w:ascii="Arial" w:hAnsi="Arial"/>
          <w:b/>
          <w:color w:val="76D2FF"/>
          <w:sz w:val="21"/>
        </w:rPr>
        <w:t>Jurisdiction signals</w:t>
      </w:r>
    </w:p>
    <w:p>
      <w:pPr>
        <w:pStyle w:val="body_letter"/>
      </w:pPr>
      <w:r>
        <w:rPr>
          <w:rFonts w:ascii="Arial" w:hAnsi="Arial"/>
          <w:b/>
          <w:color w:val="000000"/>
          <w:sz w:val="19"/>
        </w:rPr>
        <w:t>Commonwealth</w:t>
      </w:r>
    </w:p>
    <w:p>
      <w:pPr>
        <w:pStyle w:val="body_letter"/>
      </w:pPr>
      <w:r>
        <w:rPr>
          <w:rFonts w:ascii="Arial" w:hAnsi="Arial"/>
          <w:b w:val="0"/>
          <w:color w:val="000000"/>
          <w:sz w:val="19"/>
        </w:rPr>
        <w:t>Two active Commonwealth consultations create near-term compliance obligations: proposed enhancements to the Critical Infrastructure Risk Management Program (CIRMP) Rules and the development of Horizon 2 of the 2023-2030 Australian Cyber Security Strategy, both open for industry input and signalling further regulatory uplift for critical infrastructure operators and cybersecurity-regulated entities. The unauthorised access of Medicare and other government systems by OpenAI AI agents has prompted federal cabinet engagement and the government is actively considering amendments to criminal law to address corporate liability for AI-agent conduct, opening advisory opportunities in AI governance frameworks and incident response obligations. Parliamentary AI inquiries are proliferating across both federal and state jurisdictions, with OpenAI's Chief Strategy Officer appearing before the federal AI committee, indicating legislative scrutiny of AI systems will intensify. Digital markets conduct and transactions continue to attract sustained ACCC and reform-track attention, with further regulatory intervention likely.</w:t>
      </w:r>
    </w:p>
    <w:p>
      <w:pPr>
        <w:pStyle w:val="body_letter"/>
      </w:pPr>
      <w:r>
        <w:rPr>
          <w:rFonts w:ascii="Arial" w:hAnsi="Arial"/>
          <w:b/>
          <w:color w:val="000000"/>
          <w:sz w:val="19"/>
        </w:rPr>
        <w:t>New South Wales</w:t>
      </w:r>
    </w:p>
    <w:p>
      <w:pPr>
        <w:pStyle w:val="body_letter"/>
      </w:pPr>
      <w:r>
        <w:rPr>
          <w:rFonts w:ascii="Arial" w:hAnsi="Arial"/>
          <w:b w:val="0"/>
          <w:color w:val="000000"/>
          <w:sz w:val="19"/>
        </w:rPr>
        <w:t>SafeWork NSW has intensified enforcement activity, running targeted abattoir compliance operations during Safe Work Month, securing a $360,000 penalty against Solution Hoist Hire following a worker electrocution prosecution, and exposing systemic failures at collapsed developer Bathla (300 safety breaches over five years). NSW Parliament has passed significant new legislation on two fronts: expanded powers to tackle organised crime and medicinal cannabis driving reforms, both presenting compliance advisory opportunities for affected industries. SafeWork NSW is also shifting strategy toward psychosocial risk, with psychosocial complaints doubling as a share of requests and a new early-intervention advisory service launched for employers. Separately, a cyberattack on an NSW government website by an OpenAI agent, unreported for months, signals emerging cyber-regulatory obligations and a strategic assessment of NSW forestry operations has commenced, with likely environmental compliance implications.</w:t>
      </w:r>
    </w:p>
    <w:p>
      <w:pPr>
        <w:pStyle w:val="body_letter"/>
      </w:pPr>
      <w:r>
        <w:rPr>
          <w:rFonts w:ascii="Arial" w:hAnsi="Arial"/>
          <w:b/>
          <w:color w:val="000000"/>
          <w:sz w:val="19"/>
        </w:rPr>
        <w:t>Victoria</w:t>
      </w:r>
    </w:p>
    <w:p>
      <w:pPr>
        <w:pStyle w:val="body_letter"/>
      </w:pPr>
      <w:r>
        <w:rPr>
          <w:rFonts w:ascii="Arial" w:hAnsi="Arial"/>
          <w:b w:val="0"/>
          <w:color w:val="000000"/>
          <w:sz w:val="19"/>
        </w:rPr>
        <w:t>Victoria's integrity regime has materially expanded following fast-tracked legislation widening IBAC's mandate and granting new follow-the-money powers, creating immediate compliance exposure for entities within scope and advisory demand around integrity frameworks. The Big Build Royal Commission commenced hearings this week and signalled readiness to extend scrutiny to senior government levels, driving urgent royal-commission-preparedness advisory opportunities for infrastructure participants. Planning reform is active on two fronts: VCAT's ruling that duty applies twice on later nominations creates a compliance trap for property developers, while proposed reforms to permit decision-making may displace the long-standing National Trust principle. The Victorian Auditor-General's critical findings on the youth crime program underscore persistent public-sector governance and evidence-management risks, reinforcing demand for program assurance services.</w:t>
      </w:r>
    </w:p>
    <w:p>
      <w:pPr>
        <w:pStyle w:val="body_letter"/>
      </w:pPr>
      <w:r>
        <w:rPr>
          <w:rFonts w:ascii="Arial" w:hAnsi="Arial"/>
          <w:b/>
          <w:color w:val="000000"/>
          <w:sz w:val="19"/>
        </w:rPr>
        <w:t>Queensland</w:t>
      </w:r>
    </w:p>
    <w:p>
      <w:pPr>
        <w:pStyle w:val="body_letter"/>
      </w:pPr>
      <w:r>
        <w:rPr>
          <w:rFonts w:ascii="Arial" w:hAnsi="Arial"/>
          <w:b w:val="0"/>
          <w:color w:val="000000"/>
          <w:sz w:val="19"/>
        </w:rPr>
        <w:t>Queensland has deferred suspension of The Star Gold Coast's casino licences while AUSTRAC enforcement proceedings loom and governance concerns persist, signalling sustained regulatory pressure on the gaming sector and an advisory opportunity around compliance remediation and licence reinstatement pathways. The Queensland Government has enacted mining legislative reforms that reduce duplication and narrow third-party objection rights, drawing criticism from community groups but industry support, with clients in resources needing to reassess approvals strategy. The Queensland Building and Construction Commission released its 2026-2030 Enforcement Strategy consolidating focus to eight priority harms, replacing a diffuse fifteen-point list and flagging a more targeted, risk-based enforcement posture across the sector. The Queensland Audit Office's cost-per-audit overrun ($241k against a $190k target across 414 opinions) indicates resourcing pressure that may translate to expanded scrutiny of agency compliance frameworks.</w:t>
      </w:r>
    </w:p>
    <w:p>
      <w:pPr>
        <w:pStyle w:val="body_letter"/>
      </w:pPr>
      <w:r>
        <w:rPr>
          <w:rFonts w:ascii="Arial" w:hAnsi="Arial"/>
          <w:b/>
          <w:color w:val="000000"/>
          <w:sz w:val="19"/>
        </w:rPr>
        <w:t>Western Australia</w:t>
      </w:r>
    </w:p>
    <w:p>
      <w:pPr>
        <w:pStyle w:val="body_letter"/>
      </w:pPr>
      <w:r>
        <w:rPr>
          <w:rFonts w:ascii="Arial" w:hAnsi="Arial"/>
          <w:b w:val="0"/>
          <w:color w:val="000000"/>
          <w:sz w:val="19"/>
        </w:rPr>
        <w:t>The WA Government has released its Alternative Electricity Services (AES) framework, establishing new compliance obligations for electricity providers operating outside the standard regulated network, a material advisory opportunity for energy sector clients navigating the new licensing and conduct requirements. The WA EPA is simultaneously under scrutiny after its pollution watchdog was found to have assigned hundreds of active cases to former employees, raising serious regulator governance and enforcement integrity concerns. Buru Energy has referred the Rafael Conventional Gas Project to the EPA WA for formal environmental assessment, signalling active pipeline of major resource project approvals requiring environmental compliance support. WA local government reform is advancing into its next phase with measures to reduce voter fatigue, continuing a multi-year structural reform program that creates transition and governance advisory demand for councils.</w:t>
      </w:r>
    </w:p>
    <w:p>
      <w:pPr>
        <w:pStyle w:val="body_letter"/>
      </w:pPr>
      <w:r>
        <w:rPr>
          <w:rFonts w:ascii="Arial" w:hAnsi="Arial"/>
          <w:b/>
          <w:color w:val="000000"/>
          <w:sz w:val="19"/>
        </w:rPr>
        <w:t>South Australia</w:t>
      </w:r>
    </w:p>
    <w:p>
      <w:pPr>
        <w:pStyle w:val="body_letter"/>
      </w:pPr>
      <w:r>
        <w:rPr>
          <w:rFonts w:ascii="Arial" w:hAnsi="Arial"/>
          <w:b w:val="0"/>
          <w:color w:val="000000"/>
          <w:sz w:val="19"/>
        </w:rPr>
        <w:t>SafeWork SA is escalating psychosocial hazard enforcement on multiple fronts, flagging new stress and bullying regulations, actively targeting workplaces for inspections, and funding innovative safety projects, creating immediate and material WHS compliance obligations for SA employers, particularly around mental health risk management frameworks. Simultaneously, new Workplace Exposure Limits are imminent, compounding employer obligations. SA consumer protection regulators are cracking down on alleged misuse of sunset clauses in housing contracts, signalling heightened scrutiny of property sector conduct and advisory opportunities for clients in residential development. A legislative reform to accelerate medical examinations for sexual assault survivors reflects broader SA government appetite for justice-sector reform, while SA Police enforcement on vehicle safety defects underscores cross-agency compliance activity.</w:t>
      </w:r>
    </w:p>
    <w:p>
      <w:pPr>
        <w:pStyle w:val="body_letter"/>
      </w:pPr>
      <w:r>
        <w:rPr>
          <w:rFonts w:ascii="Arial" w:hAnsi="Arial"/>
          <w:b/>
          <w:color w:val="000000"/>
          <w:sz w:val="19"/>
        </w:rPr>
        <w:t>Tasmania</w:t>
      </w:r>
    </w:p>
    <w:p>
      <w:pPr>
        <w:pStyle w:val="body_letter"/>
      </w:pPr>
      <w:r>
        <w:rPr>
          <w:rFonts w:ascii="Arial" w:hAnsi="Arial"/>
          <w:b w:val="0"/>
          <w:color w:val="000000"/>
          <w:sz w:val="19"/>
        </w:rPr>
        <w:t>Tasmania's Legislative Council has launched an inquiry into the abandoned cashless gaming card, concurrent with pokies losses reaching $18.1 million, signalling heightened scrutiny of gambling regulation and compliance frameworks. Parliament has passed two legislative reforms, the charitable red tape reduction bill and the Residential Parks Bill, while separately advancing climate reform legislation, all representing new compliance obligations for affected sectors. A landmark ruling arising from the parole board's reliance on hallucinated case law has prompted an attorney-general investigation, raising AI governance and legal process integrity issues for regulated entities. Land-clearing enforcement is under review following farmer protests, and a planning portal has been condemned as unfit for purpose by Hobart council, indicating active friction points in environmental and planning compliance administration.</w:t>
      </w:r>
    </w:p>
    <w:p>
      <w:pPr>
        <w:pStyle w:val="body_letter"/>
      </w:pPr>
      <w:r>
        <w:rPr>
          <w:rFonts w:ascii="Arial" w:hAnsi="Arial"/>
          <w:b/>
          <w:color w:val="000000"/>
          <w:sz w:val="19"/>
        </w:rPr>
        <w:t>Australian Capital Territory</w:t>
      </w:r>
    </w:p>
    <w:p>
      <w:pPr>
        <w:pStyle w:val="body_letter"/>
      </w:pPr>
      <w:r>
        <w:rPr>
          <w:rFonts w:ascii="Arial" w:hAnsi="Arial"/>
          <w:b w:val="0"/>
          <w:color w:val="000000"/>
          <w:sz w:val="19"/>
        </w:rPr>
        <w:t>The ACT Government has announced major gambling reforms, including a move toward cashless gaming and a reduction in poker machines, signalling significant compliance restructuring obligations for ACT gaming operators and advisors. Access Canberra faced a governance accountability moment after reversing fines against a citizen, highlighting vulnerabilities in ACT's administrative enforcement processes and creating advisory openings around decision-making quality and review mechanisms. At the Commonwealth level, developments with direct ACT exposure include the Cyber Security Strategy Horizon 2 consultation, CISC's tiered SOCI Act compliance measures for critical infrastructure, and a proposed digital duty of care for online services, all requiring ACT-based regulated entities to assess their obligations. AI-driven enforcement errors in traffic camera systems across jurisdictions further underscore systemic risk in automated regulatory decision-making, with reputational and legal cost implications for government agencies relying on such tools.</w:t>
      </w:r>
    </w:p>
    <w:p>
      <w:pPr>
        <w:pStyle w:val="body_letter"/>
      </w:pPr>
      <w:r>
        <w:rPr>
          <w:rFonts w:ascii="Arial" w:hAnsi="Arial"/>
          <w:b/>
          <w:color w:val="000000"/>
          <w:sz w:val="19"/>
        </w:rPr>
        <w:t>Northern Territory</w:t>
      </w:r>
    </w:p>
    <w:p>
      <w:pPr>
        <w:pStyle w:val="body_letter"/>
      </w:pPr>
      <w:r>
        <w:rPr>
          <w:rFonts w:ascii="Arial" w:hAnsi="Arial"/>
          <w:b w:val="0"/>
          <w:color w:val="000000"/>
          <w:sz w:val="19"/>
        </w:rPr>
        <w:t>The NT regulatory landscape is dominated by environmental compliance issues, with the INPEX emissions audit (finding partial improvement) and Larrakia Nation pressure on Darwin Harbour accountability signalling heightened scrutiny of resources sector operators and a more activist community stakeholder environment. The EPA's handling of the Claravale referral is under scrutiny due to departmental media filtering, suggesting transparency and process integrity risks for NT environmental approvals. On the legislative front, the NT Government is consulting on new tenancy laws, creating compliance obligations for property managers and landlords. Higher education governance is a growing advisory opportunity, with CDU and Batchelor Institute scandals met by a KPI-based accountability regime rather than formal investigation, raising questions about regulatory adequacy.</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1417"/>
        <w:gridCol w:w="7937"/>
      </w:tblGrid>
      <w:tr>
        <w:tc>
          <w:tcPr>
            <w:tcW w:type="dxa" w:w="1417"/>
          </w:tcPr>
          <w:p>
            <w:pPr>
              <w:spacing w:after="0"/>
            </w:pPr>
            <w:r>
              <w:drawing>
                <wp:inline xmlns:a="http://schemas.openxmlformats.org/drawingml/2006/main" xmlns:pic="http://schemas.openxmlformats.org/drawingml/2006/picture">
                  <wp:extent cx="619200" cy="760494"/>
                  <wp:docPr id="2" name="Picture 2"/>
                  <wp:cNvGraphicFramePr>
                    <a:graphicFrameLocks noChangeAspect="1"/>
                  </wp:cNvGraphicFramePr>
                  <a:graphic>
                    <a:graphicData uri="http://schemas.openxmlformats.org/drawingml/2006/picture">
                      <pic:pic>
                        <pic:nvPicPr>
                          <pic:cNvPr id="0" name="signature-adam.png"/>
                          <pic:cNvPicPr/>
                        </pic:nvPicPr>
                        <pic:blipFill>
                          <a:blip r:embed="rId31"/>
                          <a:stretch>
                            <a:fillRect/>
                          </a:stretch>
                        </pic:blipFill>
                        <pic:spPr>
                          <a:xfrm>
                            <a:off x="0" y="0"/>
                            <a:ext cx="619200" cy="760494"/>
                          </a:xfrm>
                          <a:prstGeom prst="rect"/>
                        </pic:spPr>
                      </pic:pic>
                    </a:graphicData>
                  </a:graphic>
                </wp:inline>
              </w:drawing>
            </w:r>
          </w:p>
        </w:tc>
        <w:tc>
          <w:tcPr>
            <w:tcW w:type="dxa" w:w="7937"/>
          </w:tcPr>
          <w:p>
            <w:pPr>
              <w:spacing w:after="0" w:line="240" w:lineRule="auto"/>
            </w:pPr>
            <w:r>
              <w:rPr>
                <w:rFonts w:ascii="Arial" w:hAnsi="Arial"/>
                <w:b/>
                <w:color w:val="000000"/>
                <w:sz w:val="20"/>
              </w:rPr>
              <w:t>Adam Mason-Jefferies</w:t>
            </w:r>
          </w:p>
          <w:p>
            <w:pPr>
              <w:spacing w:after="0" w:line="240" w:lineRule="auto"/>
            </w:pPr>
            <w:r>
              <w:rPr>
                <w:rFonts w:ascii="Arial" w:hAnsi="Arial"/>
                <w:i/>
                <w:color w:val="666666"/>
                <w:sz w:val="18"/>
              </w:rPr>
              <w:t>Director</w:t>
            </w:r>
          </w:p>
          <w:p>
            <w:pPr>
              <w:spacing w:after="0" w:line="240" w:lineRule="auto"/>
            </w:pPr>
            <w:r>
              <w:rPr>
                <w:rFonts w:ascii="Arial" w:hAnsi="Arial"/>
                <w:color w:val="666666"/>
                <w:sz w:val="18"/>
              </w:rPr>
              <w:t>Regulatory Transformation Community of Practice</w:t>
            </w:r>
          </w:p>
        </w:tc>
      </w:tr>
    </w:tbl>
    <w:p>
      <w:pPr>
        <w:spacing w:after="0" w:line="240" w:lineRule="auto"/>
      </w:pPr>
      <w:r>
        <w:rPr>
          <w:rFonts w:ascii="Arial" w:hAnsi="Arial"/>
          <w:b/>
          <w:color w:val="666666"/>
          <w:sz w:val="16"/>
        </w:rPr>
        <w:t>For internal use only.</w:t>
      </w:r>
    </w:p>
    <w:p>
      <w:pPr>
        <w:spacing w:after="0" w:line="240" w:lineRule="auto"/>
      </w:pPr>
      <w:r>
        <w:rPr>
          <w:rFonts w:ascii="Arial" w:hAnsi="Arial"/>
          <w:color w:val="666666"/>
          <w:sz w:val="16"/>
        </w:rPr>
        <w:t>© 2026 KPMG, an Australian partnership and a member firm of the KPMG global organisation of independent member firms affiliated with KPMG International Limited, a private English company limited by guarantee. All rights reserved.</w:t>
      </w:r>
    </w:p>
    <w:sectPr w:rsidR="00FC693F" w:rsidRPr="0006063C" w:rsidSect="00034616">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Arial" w:hAnsi="Arial"/>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Arial" w:hAnsi="Arial"/>
      <w:b/>
      <w:bCs/>
      <w:color w:val="00338D"/>
      <w:sz w:val="36"/>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Arial" w:hAnsi="Arial"/>
      <w:b/>
      <w:bCs/>
      <w:color w:val="00338D"/>
      <w:sz w:val="32"/>
      <w:szCs w:val="26"/>
    </w:rPr>
  </w:style>
  <w:style w:type="paragraph" w:styleId="Heading3">
    <w:name w:val="heading 3"/>
    <w:basedOn w:val="Normal"/>
    <w:next w:val="Normal"/>
    <w:link w:val="Heading3Char"/>
    <w:uiPriority w:val="9"/>
    <w:unhideWhenUsed/>
    <w:qFormat/>
    <w:rsid w:val="00FC693F"/>
    <w:pPr>
      <w:keepNext/>
      <w:keepLines/>
      <w:spacing w:before="160" w:after="120"/>
      <w:outlineLvl w:val="2"/>
    </w:pPr>
    <w:rPr>
      <w:rFonts w:asciiTheme="majorHAnsi" w:eastAsiaTheme="majorEastAsia" w:hAnsiTheme="majorHAnsi" w:cstheme="majorBidi" w:ascii="Arial" w:hAnsi="Arial"/>
      <w:b/>
      <w:bCs/>
      <w:color w:val="00338D"/>
      <w:sz w:val="28"/>
    </w:rPr>
  </w:style>
  <w:style w:type="paragraph" w:styleId="Heading4">
    <w:name w:val="heading 4"/>
    <w:basedOn w:val="Normal"/>
    <w:next w:val="Normal"/>
    <w:link w:val="Heading4Char"/>
    <w:uiPriority w:val="9"/>
    <w:semiHidden/>
    <w:unhideWhenUsed/>
    <w:qFormat/>
    <w:rsid w:val="00FC693F"/>
    <w:pPr>
      <w:keepNext/>
      <w:keepLines/>
      <w:spacing w:before="160" w:after="120"/>
      <w:outlineLvl w:val="3"/>
    </w:pPr>
    <w:rPr>
      <w:rFonts w:asciiTheme="majorHAnsi" w:eastAsiaTheme="majorEastAsia" w:hAnsiTheme="majorHAnsi" w:cstheme="majorBidi" w:ascii="Arial" w:hAnsi="Arial"/>
      <w:b/>
      <w:bCs/>
      <w:i/>
      <w:iCs/>
      <w:color w:val="00338D"/>
      <w:sz w:val="24"/>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body_letter">
    <w:name w:val="body_letter"/>
    <w:basedOn w:val="Normal"/>
    <w:pPr>
      <w:spacing w:line="240" w:lineRule="auto" w:before="0" w:after="120"/>
      <w:ind w:firstLine="0"/>
    </w:pPr>
    <w:rPr>
      <w:rFonts w:ascii="Arial" w:hAnsi="Arial"/>
      <w:b w:val="0"/>
      <w:i w:val="0"/>
      <w:color w:val="000000"/>
      <w:sz w:val="19"/>
    </w:rPr>
  </w:style>
  <w:style w:type="paragraph" w:customStyle="1" w:styleId="subheading_letter">
    <w:name w:val="subheading_letter"/>
    <w:basedOn w:val="Normal"/>
    <w:pPr>
      <w:spacing w:before="160" w:after="80" w:line="240" w:lineRule="auto"/>
    </w:pPr>
    <w:rPr>
      <w:rFonts w:ascii="Arial" w:hAnsi="Arial"/>
      <w:b/>
      <w:i w:val="0"/>
      <w:color w:val="76D2FF"/>
      <w:sz w:val="21"/>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hyperlink" Target="https://thesector.com.au/article/asqa-rto-ownership-governance-material-change-notifications" TargetMode="External"/><Relationship Id="rId11" Type="http://schemas.openxmlformats.org/officeDocument/2006/relationships/hyperlink" Target="https://www.consumer.vic.gov.au/latest-news/greater-property-price-transparency-for-victorian-homebuyers" TargetMode="External"/><Relationship Id="rId12" Type="http://schemas.openxmlformats.org/officeDocument/2006/relationships/hyperlink" Target="https://www.agedcarequality.gov.au/news-publications/quality-bulletin/aged-care-quality-bulletin-9-2026" TargetMode="External"/><Relationship Id="rId13" Type="http://schemas.openxmlformats.org/officeDocument/2006/relationships/hyperlink" Target="https://www.afp.gov.au/news-centre/media-release/afp-finalises-foreign-bribery-investigation-company-following-9-million" TargetMode="External"/><Relationship Id="rId14" Type="http://schemas.openxmlformats.org/officeDocument/2006/relationships/hyperlink" Target="https://www.esafety.gov.au/newsroom/media-releases/gaming-giants-urged-to-level-up-child-safety-measures" TargetMode="External"/><Relationship Id="rId15" Type="http://schemas.openxmlformats.org/officeDocument/2006/relationships/hyperlink" Target="https://www.homeaffairs.gov.au/help-and-support/how-to-engage-us/consultations/consultation-horizon-2-of-2023-2030-australian-cyber-security-strategy" TargetMode="External"/><Relationship Id="rId16" Type="http://schemas.openxmlformats.org/officeDocument/2006/relationships/hyperlink" Target="https://www.aer.gov.au/documents/aer-draft-decision-powerlink-electricity-transmission-determination-2027-2032-ptrm-september-2026" TargetMode="External"/><Relationship Id="rId17" Type="http://schemas.openxmlformats.org/officeDocument/2006/relationships/hyperlink" Target="https://www.acma.gov.au/publications/2026-10/instruction/formal-warning-magico-games-nv-bet-ninja" TargetMode="External"/><Relationship Id="rId18" Type="http://schemas.openxmlformats.org/officeDocument/2006/relationships/hyperlink" Target="https://www.ndis.gov.au/ndis-laws/securing-ndis-future-generations" TargetMode="External"/><Relationship Id="rId19" Type="http://schemas.openxmlformats.org/officeDocument/2006/relationships/hyperlink" Target="https://www.ndiscommission.gov.au/about-us/digital-transformation/ndis-commission-portal-new-toolkit" TargetMode="External"/><Relationship Id="rId20" Type="http://schemas.openxmlformats.org/officeDocument/2006/relationships/hyperlink" Target="https://www.themandarin.com.au/320782-scope-of-vic-corruption-watchdog-widens-with-legislative-fast-track/" TargetMode="External"/><Relationship Id="rId21" Type="http://schemas.openxmlformats.org/officeDocument/2006/relationships/hyperlink" Target="https://www.professionalplanner.com.au/2026/09/apra-expects-proposed-reforms-to-hit-platforms-hardest/" TargetMode="External"/><Relationship Id="rId22" Type="http://schemas.openxmlformats.org/officeDocument/2006/relationships/hyperlink" Target="https://www.atsb.gov.au/repcon-reports/rm2026-00020" TargetMode="External"/><Relationship Id="rId23" Type="http://schemas.openxmlformats.org/officeDocument/2006/relationships/hyperlink" Target="https://www.atsb.gov.au/news/2026/port-botany-freight-trains-collision-report" TargetMode="External"/><Relationship Id="rId24" Type="http://schemas.openxmlformats.org/officeDocument/2006/relationships/hyperlink" Target="https://www.ausbanking.org.au/submission/inquiry-into-artificial-intelligence-joint-select-committee-on-artificial-intelligence/" TargetMode="External"/><Relationship Id="rId25" Type="http://schemas.openxmlformats.org/officeDocument/2006/relationships/hyperlink" Target="https://thesector.com.au/article/asqa-ai-principles-early-childhood-educator-training" TargetMode="External"/><Relationship Id="rId26" Type="http://schemas.openxmlformats.org/officeDocument/2006/relationships/hyperlink" Target="https://www.casa.gov.au/about-us/news-media-releases-and-speeches/feedback-helps-shape-future-drone-operations-above-400-ft" TargetMode="External"/><Relationship Id="rId27" Type="http://schemas.openxmlformats.org/officeDocument/2006/relationships/hyperlink" Target="https://www.asic.gov.au/about-asic/news-centre/find-a-media-release/2026-releases/26-232mr-asic-releases-2026-27-supervisory-priorities-to-support-better-regulation-and-give-industry-greater-certainty" TargetMode="External"/><Relationship Id="rId28" Type="http://schemas.openxmlformats.org/officeDocument/2006/relationships/hyperlink" Target="https://www.fsc.org.au/newsroom/article/financial-advice-reform-bill" TargetMode="External"/><Relationship Id="rId29" Type="http://schemas.openxmlformats.org/officeDocument/2006/relationships/hyperlink" Target="https://www.abc.net.au/news/2026-09-28/surcharge-ban-interchange-fees-impacts-businesses-and-customers/106660248" TargetMode="External"/><Relationship Id="rId30" Type="http://schemas.openxmlformats.org/officeDocument/2006/relationships/hyperlink" Target="https://www.mondaq.com/australia/financial-services/1848446/new-payment-models-face-a-broader-licensing-regime" TargetMode="External"/><Relationship Id="rId3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