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- 8-21 September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21 September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Australian regulators are pressing on multiple fronts simultaneously: ASIC is advancing enforcement action and consulting on register access, APRA is sharpening director and officer accountability expectations following the BAB decision, privacy reform amendments are reshaping compliance obligations, and the regulatory omnibus bill is trimming the CSLR levy disallowance window, all while card surcharging removal and gas market reform add cross-sector compliance pressure. The APRA v BAB decision is the standout advisory moment because it resets the personal liability benchmark for directors and officers across the financial services portfolio and creates an immediate, concrete reason for boards to seek independent assurance on their governance frameworks. Brief our financial services and insurance sector leads this week on the BAB implications and pursue conversations with audit and board advisory clients who need to reassess their D and O governance posture before the decision embeds as market standard.</w:t>
      </w:r>
    </w:p>
    <w:p>
      <w:pPr>
        <w:pStyle w:val="subheading_letter"/>
      </w:pPr>
      <w:r>
        <w:rPr>
          <w:rFonts w:ascii="Arial" w:hAnsi="Arial"/>
          <w:b/>
          <w:color w:val="76D2FF"/>
          <w:sz w:val="21"/>
        </w:rPr>
        <w:t>Regulators in the news (this fortnight)</w:t>
      </w:r>
    </w:p>
    <w:p>
      <w:pPr>
        <w:pStyle w:val="body_letter"/>
      </w:pPr>
      <w:r>
        <w:rPr>
          <w:rFonts w:ascii="Arial" w:hAnsi="Arial"/>
          <w:i/>
          <w:color w:val="666666"/>
          <w:sz w:val="19"/>
        </w:rPr>
        <w:t>No regulator-in-news signal this fortnight, see Themes below.</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Independent Broad-based Anti-corruption Commission</w:t>
      </w:r>
      <w:r>
        <w:rPr>
          <w:rFonts w:ascii="Arial" w:hAnsi="Arial"/>
          <w:color w:val="000000"/>
          <w:sz w:val="19"/>
        </w:rPr>
        <w:t xml:space="preserve"> - </w:t>
      </w:r>
      <w:r>
        <w:rPr>
          <w:rFonts w:ascii="Arial" w:hAnsi="Arial"/>
          <w:color w:val="000000"/>
          <w:sz w:val="19"/>
        </w:rPr>
        <w:t>AFR: decade of integrity erosion in Victoria</w:t>
      </w:r>
    </w:p>
    <w:p>
      <w:pPr>
        <w:pStyle w:val="ListBullet"/>
      </w:pPr>
      <w:r>
        <w:rPr>
          <w:rFonts w:ascii="Arial" w:hAnsi="Arial"/>
          <w:b/>
          <w:color w:val="000000"/>
          <w:sz w:val="19"/>
        </w:rPr>
        <w:t>Essential Services Commission</w:t>
      </w:r>
      <w:r>
        <w:rPr>
          <w:rFonts w:ascii="Arial" w:hAnsi="Arial"/>
          <w:color w:val="000000"/>
          <w:sz w:val="19"/>
        </w:rPr>
        <w:t xml:space="preserve"> - </w:t>
      </w:r>
      <w:r>
        <w:rPr>
          <w:rFonts w:ascii="Arial" w:hAnsi="Arial"/>
          <w:color w:val="000000"/>
          <w:sz w:val="19"/>
        </w:rPr>
        <w:t>New life support customer protections gazetted</w:t>
      </w:r>
    </w:p>
    <w:p>
      <w:pPr>
        <w:pStyle w:val="ListBullet"/>
      </w:pPr>
      <w:r>
        <w:rPr>
          <w:rFonts w:ascii="Arial" w:hAnsi="Arial"/>
          <w:b/>
          <w:color w:val="000000"/>
          <w:sz w:val="19"/>
        </w:rPr>
        <w:t>Essential Services Commission</w:t>
      </w:r>
      <w:r>
        <w:rPr>
          <w:rFonts w:ascii="Arial" w:hAnsi="Arial"/>
          <w:color w:val="000000"/>
          <w:sz w:val="19"/>
        </w:rPr>
        <w:t xml:space="preserve"> - </w:t>
      </w:r>
      <w:r>
        <w:rPr>
          <w:rFonts w:ascii="Arial" w:hAnsi="Arial"/>
          <w:color w:val="000000"/>
          <w:sz w:val="19"/>
        </w:rPr>
        <w:t>Water price submission guidance released</w:t>
      </w:r>
    </w:p>
    <w:p>
      <w:pPr>
        <w:pStyle w:val="body_letter"/>
      </w:pPr>
      <w:r>
        <w:rPr>
          <w:rFonts w:ascii="Arial" w:hAnsi="Arial"/>
          <w:b/>
          <w:color w:val="000000"/>
          <w:sz w:val="19"/>
        </w:rPr>
        <w:t>Commonwealth</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and ASIC consult on FAR streamlining</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Three super funds hit with infringement notices for misleading disclosures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revises Retirement Reporting Framework after feedback</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ASIC acts against Star Investment Group scheme</w:t>
      </w:r>
      <w:r>
        <w:rPr>
          <w:rFonts w:ascii="Arial" w:hAnsi="Arial"/>
          <w:color w:val="000000"/>
          <w:sz w:val="19"/>
        </w:rPr>
        <w:t xml:space="preserve"> - </w:t>
      </w:r>
      <w:r>
        <w:rPr>
          <w:rFonts w:ascii="Arial" w:hAnsi="Arial"/>
          <w:color w:val="000000"/>
          <w:sz w:val="19"/>
        </w:rPr>
        <w:t>ASIC has taken enforcement action to protect investors exposed to the Star Investment Group Australia scheme, signalling continued focus on unlicensed and potentially fraudulent investment activity.</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APRA v BAB: directors and officers face heightened accountability</w:t>
      </w:r>
      <w:r>
        <w:rPr>
          <w:rFonts w:ascii="Arial" w:hAnsi="Arial"/>
          <w:color w:val="000000"/>
          <w:sz w:val="19"/>
        </w:rPr>
        <w:t xml:space="preserve"> - </w:t>
      </w:r>
      <w:r>
        <w:rPr>
          <w:rFonts w:ascii="Arial" w:hAnsi="Arial"/>
          <w:color w:val="000000"/>
          <w:sz w:val="19"/>
        </w:rPr>
        <w:t>The APRA v BAB decision has issued a wake-up call for directors and officers on personal liability exposure under prudential enforcement, raising the stakes for governance and risk oversight in…</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ASIC issues infringement notices to three super funds over misleading disclosures</w:t>
      </w:r>
      <w:r>
        <w:rPr>
          <w:rFonts w:ascii="Arial" w:hAnsi="Arial"/>
          <w:color w:val="000000"/>
          <w:sz w:val="19"/>
        </w:rPr>
        <w:t xml:space="preserve"> - </w:t>
      </w:r>
      <w:r>
        <w:rPr>
          <w:rFonts w:ascii="Arial" w:hAnsi="Arial"/>
          <w:color w:val="000000"/>
          <w:sz w:val="19"/>
        </w:rPr>
        <w:t>ASIC has issued infringement notices to three superannuation funds for misleading investment option disclosures, reinforcing regulatory expectations around transparency in member communications.</w:t>
      </w:r>
    </w:p>
    <w:p>
      <w:pPr>
        <w:pStyle w:val="body_letter"/>
      </w:pPr>
      <w:r>
        <w:rPr>
          <w:rFonts w:ascii="Arial" w:hAnsi="Arial"/>
          <w:b/>
          <w:color w:val="000000"/>
          <w:sz w:val="19"/>
        </w:rPr>
        <w:t>AI adoption</w:t>
      </w:r>
    </w:p>
    <w:p>
      <w:pPr>
        <w:pStyle w:val="ListBullet"/>
      </w:pPr>
      <w:r>
        <w:rPr>
          <w:rFonts w:ascii="Arial" w:hAnsi="Arial"/>
          <w:b/>
          <w:color w:val="000000"/>
          <w:sz w:val="19"/>
        </w:rPr>
        <w:t>Australia's 2026 privacy reforms: pivotal new changes for AI and data</w:t>
      </w:r>
      <w:r>
        <w:rPr>
          <w:rFonts w:ascii="Arial" w:hAnsi="Arial"/>
          <w:color w:val="000000"/>
          <w:sz w:val="19"/>
        </w:rPr>
        <w:t xml:space="preserve"> - </w:t>
      </w:r>
      <w:r>
        <w:rPr>
          <w:rFonts w:ascii="Arial" w:hAnsi="Arial"/>
          <w:color w:val="000000"/>
          <w:sz w:val="19"/>
        </w:rPr>
        <w:t>Australia's 2026 privacy reform package introduces significant new obligations affecting automated decision-making, data minimisation and cross-border transfers, directly shaping how AI systems must…</w:t>
      </w:r>
    </w:p>
    <w:p>
      <w:pPr>
        <w:pStyle w:val="body_letter"/>
      </w:pPr>
      <w:r>
        <w:rPr>
          <w:rFonts w:ascii="Arial" w:hAnsi="Arial"/>
          <w:b/>
          <w:color w:val="000000"/>
          <w:sz w:val="19"/>
        </w:rPr>
        <w:t>Regulatory burden</w:t>
      </w:r>
    </w:p>
    <w:p>
      <w:pPr>
        <w:pStyle w:val="ListBullet"/>
      </w:pPr>
      <w:r>
        <w:rPr>
          <w:rFonts w:ascii="Arial" w:hAnsi="Arial"/>
          <w:b/>
          <w:color w:val="000000"/>
          <w:sz w:val="19"/>
        </w:rPr>
        <w:t>APRA and ASIC consult on streamlining FAR administration</w:t>
      </w:r>
      <w:r>
        <w:rPr>
          <w:rFonts w:ascii="Arial" w:hAnsi="Arial"/>
          <w:color w:val="000000"/>
          <w:sz w:val="19"/>
        </w:rPr>
        <w:t xml:space="preserve"> - </w:t>
      </w:r>
      <w:r>
        <w:rPr>
          <w:rFonts w:ascii="Arial" w:hAnsi="Arial"/>
          <w:color w:val="000000"/>
          <w:sz w:val="19"/>
        </w:rPr>
        <w:t>APRA and ASIC have launched a joint consultation on simplifying Financial Accountability Regime administration, reflecting pressure to reduce compliance duplication across prudential and conduct…</w:t>
      </w:r>
    </w:p>
    <w:p>
      <w:pPr>
        <w:pStyle w:val="ListBullet"/>
      </w:pPr>
      <w:r>
        <w:rPr>
          <w:rFonts w:ascii="Arial" w:hAnsi="Arial"/>
          <w:b/>
          <w:color w:val="000000"/>
          <w:sz w:val="19"/>
        </w:rPr>
        <w:t>Regulatory reform omnibus bill trims CSLR levy and disallowance period</w:t>
      </w:r>
      <w:r>
        <w:rPr>
          <w:rFonts w:ascii="Arial" w:hAnsi="Arial"/>
          <w:color w:val="000000"/>
          <w:sz w:val="19"/>
        </w:rPr>
        <w:t xml:space="preserve"> - </w:t>
      </w:r>
      <w:r>
        <w:rPr>
          <w:rFonts w:ascii="Arial" w:hAnsi="Arial"/>
          <w:color w:val="000000"/>
          <w:sz w:val="19"/>
        </w:rPr>
        <w:t>Parliament has passed the regulatory reform omnibus bill, reducing the Compensation Scheme of Last Resort levy disallowance period and adjusting payout settings in a move aimed at lowering industry…</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APRA revises Retirement Reporting Framework after stakeholder feedback</w:t>
      </w:r>
      <w:r>
        <w:rPr>
          <w:rFonts w:ascii="Arial" w:hAnsi="Arial"/>
          <w:color w:val="000000"/>
          <w:sz w:val="19"/>
        </w:rPr>
        <w:t xml:space="preserve"> - </w:t>
      </w:r>
      <w:r>
        <w:rPr>
          <w:rFonts w:ascii="Arial" w:hAnsi="Arial"/>
          <w:color w:val="000000"/>
          <w:sz w:val="19"/>
        </w:rPr>
        <w:t>APRA has revised its proposed Retirement Reporting Framework following stakeholder consultation, signalling a willingness to calibrate reporting obligations in response to industry concerns about…</w:t>
      </w:r>
    </w:p>
    <w:p>
      <w:pPr>
        <w:pStyle w:val="ListBullet"/>
      </w:pPr>
      <w:r>
        <w:rPr>
          <w:rFonts w:ascii="Arial" w:hAnsi="Arial"/>
          <w:b/>
          <w:color w:val="000000"/>
          <w:sz w:val="19"/>
        </w:rPr>
        <w:t>Australian Banking Association prepares industry for card surcharge removal</w:t>
      </w:r>
      <w:r>
        <w:rPr>
          <w:rFonts w:ascii="Arial" w:hAnsi="Arial"/>
          <w:color w:val="000000"/>
          <w:sz w:val="19"/>
        </w:rPr>
        <w:t xml:space="preserve"> - </w:t>
      </w:r>
      <w:r>
        <w:rPr>
          <w:rFonts w:ascii="Arial" w:hAnsi="Arial"/>
          <w:color w:val="000000"/>
          <w:sz w:val="19"/>
        </w:rPr>
        <w:t>The Australian Banking Association has published guidance preparing the sector for the mandated removal of card surcharging, a significant regulatory change affecting merchant and consumer payment…</w:t>
      </w:r>
    </w:p>
    <w:p>
      <w:pPr>
        <w:pStyle w:val="subheading_letter"/>
      </w:pPr>
      <w:r>
        <w:rPr>
          <w:rFonts w:ascii="Arial" w:hAnsi="Arial"/>
          <w:b/>
          <w:color w:val="76D2FF"/>
          <w:sz w:val="21"/>
        </w:rPr>
        <w:t>Training, conferences, webinars &amp; in-person sessions</w:t>
      </w:r>
    </w:p>
    <w:p>
      <w:pPr>
        <w:pStyle w:val="body_letter"/>
      </w:pPr>
      <w:r>
        <w:rPr>
          <w:rFonts w:ascii="Arial" w:hAnsi="Arial"/>
          <w:i/>
          <w:color w:val="666666"/>
          <w:sz w:val="19"/>
        </w:rPr>
        <w:t>No upcoming events in the next four weeks.</w:t>
      </w:r>
    </w:p>
    <w:p>
      <w:pPr>
        <w:pStyle w:val="subheading_letter"/>
      </w:pPr>
      <w:r>
        <w:rPr>
          <w:rFonts w:ascii="Arial" w:hAnsi="Arial"/>
          <w:b/>
          <w:color w:val="76D2FF"/>
          <w:sz w:val="21"/>
        </w:rPr>
        <w:t>Cross-sector synthesis (hub-wide)</w:t>
      </w:r>
    </w:p>
    <w:p>
      <w:pPr>
        <w:pStyle w:val="body_letter"/>
      </w:pPr>
      <w:r>
        <w:rPr>
          <w:rFonts w:ascii="Arial" w:hAnsi="Arial"/>
          <w:b w:val="0"/>
          <w:color w:val="000000"/>
          <w:sz w:val="19"/>
        </w:rPr>
        <w:t>The fortnight is shaped by three converging regulator investment themes: APRA and ASIC are jointly recalibrating the Financial Accountability Regime through active consultation, compressing the window for accountability-mapping and governance-gap engagements across ADIs and insurers; the AG's Department Privacy Reform Taskforce and the sanctions framework overhaul are simultaneously in open consultation, signalling that Commonwealth agencies and regulated entities need implementation architecture support before both cycles move to legislation; and enforcement intensity is escalating across consumer markets (ACCC digiDirect $99k penalty), financial services (APRA v BAB personal liability ruling, ASIC licence cancellations), and border controls (ABF depot shutdowns in illicit tobacco), confirming regulators are in active penalty mode rather than guidance mode. Clients in the news include John Holland (Comcare Metro charges), ANU (TEQSA registration conditions), and digiDirect (ACCC misleading pricing), each carrying live regulatory exposure with assurance and advisory hooks. The merger regime's parliamentary fine-tuning and the CSLR omnibus passage add implementation complexity across advice licensees and M&amp;A-active clients that the sector has not yet absorbed. KPMG's immediate BD priority is the FAR consultation window, a time-bounded, multi-entity accountability-mapping engagement with a clear regulatory anchor and demonstrable PEPI credentials. The secondary priority is privacy and sanctions reform, where the Commonwealth is actively building implementation architecture and PEPI has established entry points across AG's Department, Home Affairs, and the defence export base.</w:t>
      </w:r>
    </w:p>
    <w:p>
      <w:pPr>
        <w:pStyle w:val="body_letter"/>
      </w:pPr>
      <w:r>
        <w:rPr>
          <w:rFonts w:ascii="Arial" w:hAnsi="Arial"/>
          <w:b/>
          <w:color w:val="000000"/>
          <w:sz w:val="19"/>
        </w:rPr>
        <w:t>Business development priorities</w:t>
      </w:r>
    </w:p>
    <w:p>
      <w:pPr>
        <w:pStyle w:val="ListBullet"/>
      </w:pPr>
      <w:r>
        <w:rPr>
          <w:rFonts w:ascii="Arial" w:hAnsi="Arial"/>
          <w:color w:val="000000"/>
          <w:sz w:val="19"/>
        </w:rPr>
        <w:t>Activate the financial services bench this week to develop a FAR accountability-mapping and compliance-gap offer timed to the APRA/ASIC consultation close, targeting the top 10 ADI and insurer clients by revenue exposure.</w:t>
      </w:r>
    </w:p>
    <w:p>
      <w:pPr>
        <w:pStyle w:val="ListBullet"/>
      </w:pPr>
      <w:r>
        <w:rPr>
          <w:rFonts w:ascii="Arial" w:hAnsi="Arial"/>
          <w:color w:val="000000"/>
          <w:sz w:val="19"/>
        </w:rPr>
        <w:t>Brief the board governance practice on the APRA v BAB ruling and issue a client alert to insurance and ADI D&amp;O contacts within five business days, using it as the entry point for board governance framework reviews.</w:t>
      </w:r>
    </w:p>
    <w:p>
      <w:pPr>
        <w:pStyle w:val="ListBullet"/>
      </w:pPr>
      <w:r>
        <w:rPr>
          <w:rFonts w:ascii="Arial" w:hAnsi="Arial"/>
          <w:color w:val="000000"/>
          <w:sz w:val="19"/>
        </w:rPr>
        <w:t>Secure a meeting with AG's Department Privacy Reform Taskforce leads before the consultation period closes and position KPMG as implementation architect for Commonwealth agency privacy uplift, drawing on the public sector transformation credentials cited in the IGR productivity agenda.</w:t>
      </w:r>
    </w:p>
    <w:p>
      <w:pPr>
        <w:pStyle w:val="ListBullet"/>
      </w:pPr>
      <w:r>
        <w:rPr>
          <w:rFonts w:ascii="Arial" w:hAnsi="Arial"/>
          <w:color w:val="000000"/>
          <w:sz w:val="19"/>
        </w:rPr>
        <w:t>Develop a sanctions framework compliance rapid-assessment product targeting defence primes and tier-two suppliers ahead of the DFAT export restriction instrument taking effect, led jointly by the national security and trade advisory practices.</w:t>
      </w:r>
    </w:p>
    <w:p>
      <w:pPr>
        <w:pStyle w:val="ListBullet"/>
      </w:pPr>
      <w:r>
        <w:rPr>
          <w:rFonts w:ascii="Arial" w:hAnsi="Arial"/>
          <w:color w:val="000000"/>
          <w:sz w:val="19"/>
        </w:rPr>
        <w:t>Pursue a board governance and risk assurance mandate at ANU following the TEQSA registration conditions, positioning it as the anchor engagement for a broader Group of Eight compliance-readiness sweep across the higher education portfolio.</w:t>
      </w:r>
    </w:p>
    <w:p>
      <w:pPr>
        <w:pStyle w:val="body_letter"/>
      </w:pPr>
      <w:r>
        <w:rPr>
          <w:rFonts w:ascii="Arial" w:hAnsi="Arial"/>
          <w:b/>
          <w:color w:val="000000"/>
          <w:sz w:val="19"/>
        </w:rPr>
        <w:t>Implications for clients</w:t>
      </w:r>
    </w:p>
    <w:p>
      <w:pPr>
        <w:pStyle w:val="ListBullet"/>
      </w:pPr>
      <w:r>
        <w:rPr>
          <w:rFonts w:ascii="Arial" w:hAnsi="Arial"/>
          <w:color w:val="000000"/>
          <w:sz w:val="19"/>
        </w:rPr>
        <w:t>Activate the financial services bench this week to develop a FAR accountability-mapping and compliance-gap offer timed to the APRA/ASIC consultation close, targeting the top 10 ADI and insurer clients by revenue exposure.</w:t>
      </w:r>
    </w:p>
    <w:p>
      <w:pPr>
        <w:pStyle w:val="ListBullet"/>
      </w:pPr>
      <w:r>
        <w:rPr>
          <w:rFonts w:ascii="Arial" w:hAnsi="Arial"/>
          <w:color w:val="000000"/>
          <w:sz w:val="19"/>
        </w:rPr>
        <w:t>Brief the board governance practice on the APRA v BAB ruling and issue a client alert to insurance and ADI D&amp;O contacts within five business days, using it as the entry point for board governance framework reviews.</w:t>
      </w:r>
    </w:p>
    <w:p>
      <w:pPr>
        <w:pStyle w:val="ListBullet"/>
      </w:pPr>
      <w:r>
        <w:rPr>
          <w:rFonts w:ascii="Arial" w:hAnsi="Arial"/>
          <w:color w:val="000000"/>
          <w:sz w:val="19"/>
        </w:rPr>
        <w:t>Secure a meeting with AG's Department Privacy Reform Taskforce leads before the consultation period closes and position KPMG as implementation architect for Commonwealth agency privacy uplift, drawing on the public sector transformation credentials cited in the IGR productivity agenda.</w:t>
      </w:r>
    </w:p>
    <w:p>
      <w:pPr>
        <w:pStyle w:val="ListBullet"/>
      </w:pPr>
      <w:r>
        <w:rPr>
          <w:rFonts w:ascii="Arial" w:hAnsi="Arial"/>
          <w:color w:val="000000"/>
          <w:sz w:val="19"/>
        </w:rPr>
        <w:t>Develop a sanctions framework compliance rapid-assessment product targeting defence primes and tier-two suppliers ahead of the DFAT export restriction instrument taking effect, led jointly by the national security and trade advisory practices.</w:t>
      </w:r>
    </w:p>
    <w:p>
      <w:pPr>
        <w:pStyle w:val="ListBullet"/>
      </w:pPr>
      <w:r>
        <w:rPr>
          <w:rFonts w:ascii="Arial" w:hAnsi="Arial"/>
          <w:color w:val="000000"/>
          <w:sz w:val="19"/>
        </w:rPr>
        <w:t>Pursue a board governance and risk assurance mandate at ANU following the TEQSA registration conditions, positioning it as the anchor engagement for a broader Group of Eight compliance-readiness sweep across the higher education portfolio.</w:t>
      </w:r>
    </w:p>
    <w:p>
      <w:pPr>
        <w:pStyle w:val="subheading_letter"/>
      </w:pPr>
      <w:r>
        <w:rPr>
          <w:rFonts w:ascii="Arial" w:hAnsi="Arial"/>
          <w:b/>
          <w:color w:val="76D2FF"/>
          <w:sz w:val="21"/>
        </w:rPr>
        <w:t>Sector signals</w:t>
      </w:r>
    </w:p>
    <w:p>
      <w:pPr>
        <w:pStyle w:val="body_letter"/>
      </w:pPr>
      <w:r>
        <w:rPr>
          <w:rFonts w:ascii="Arial" w:hAnsi="Arial"/>
          <w:b/>
          <w:color w:val="000000"/>
          <w:sz w:val="19"/>
        </w:rPr>
        <w:t>Public Sector</w:t>
      </w:r>
    </w:p>
    <w:p>
      <w:pPr>
        <w:pStyle w:val="body_letter"/>
      </w:pPr>
      <w:r>
        <w:rPr>
          <w:rFonts w:ascii="Arial" w:hAnsi="Arial"/>
          <w:b w:val="0"/>
          <w:color w:val="000000"/>
          <w:sz w:val="19"/>
        </w:rPr>
        <w:t>The Commonwealth's Intergenerational Report is framing a productivity reform agenda that will drive agency capability reviews and restructuring mandates across the forward estimates, a direct pull-through for KPMG's public sector transformation bench. The AG's Department Privacy Reform Taskforce is in active consultation, with small-business and industry bodies already on record; Commonwealth and state agencies will need implementation architecture support as reform moves to legislation. Australia's sanctions framework overhaul and the Parliament-amended merger regime represent parallel regulatory rebuilds requiring government-side program management and private-sector compliance advisory, both areas where PEPI has established credentials. The ACCC's infringement action against digiDirect on misleading pricing signals continued enforcement escalation in consumer-facing digital markets, reinforcing the regulator's appetite for substantive penalty action.</w:t>
      </w:r>
    </w:p>
    <w:p>
      <w:pPr>
        <w:pStyle w:val="body_letter"/>
      </w:pPr>
      <w:r>
        <w:rPr>
          <w:rFonts w:ascii="Arial" w:hAnsi="Arial"/>
          <w:b/>
          <w:color w:val="000000"/>
          <w:sz w:val="19"/>
        </w:rPr>
        <w:t>Financial Services</w:t>
      </w:r>
    </w:p>
    <w:p>
      <w:pPr>
        <w:pStyle w:val="body_letter"/>
      </w:pPr>
      <w:r>
        <w:rPr>
          <w:rFonts w:ascii="Arial" w:hAnsi="Arial"/>
          <w:b w:val="0"/>
          <w:color w:val="000000"/>
          <w:sz w:val="19"/>
        </w:rPr>
        <w:t>APRA and ASIC have simultaneously opened consultation on streamlining Financial Accountability Regime (FAR) administration, signalling a coordinated capability and governance uplift cycle across regulated entities that creates near-term demand for accountability-mapping and compliance-gap advisory. The APRA v BAB enforcement action has materially elevated D&amp;O personal liability exposure, prompting board-level reassessment of governance frameworks and internal accountability structures across ADIs and insurers. Passage of the regulatory reform omnibus bill, trimming the CSLR levy disallowance period and capping payouts, adds implementation complexity for advice licensees navigating the concurrent Future of Advice licensing debate, where FSC motivations are now under direct Treasury scrutiny. Taken together, the fortnight's signals point to a sector under simultaneous enforcement pressure, structural reform, and accountability regime recalibration, a combination that historically drives multi-engagement advisory pipelines.</w:t>
      </w:r>
    </w:p>
    <w:p>
      <w:pPr>
        <w:pStyle w:val="body_letter"/>
      </w:pPr>
      <w:r>
        <w:rPr>
          <w:rFonts w:ascii="Arial" w:hAnsi="Arial"/>
          <w:b/>
          <w:color w:val="000000"/>
          <w:sz w:val="19"/>
        </w:rPr>
        <w:t>Health, Ageing &amp; Human Services</w:t>
      </w:r>
    </w:p>
    <w:p>
      <w:pPr>
        <w:pStyle w:val="body_letter"/>
      </w:pPr>
      <w:r>
        <w:rPr>
          <w:rFonts w:ascii="Arial" w:hAnsi="Arial"/>
          <w:b w:val="0"/>
          <w:color w:val="000000"/>
          <w:sz w:val="19"/>
        </w:rPr>
        <w:t>The NDIS Quality and Safeguards Commission's mandatory registration expansion represents the single largest near-term compliance obligation shift for disability providers since scheme inception, creating immediate demand for registration readiness, gap analysis, and governance uplift advisory. The Aged Care Quality and Safety Commission's enforcement action requiring refunds on Higher Everyday Living Fees signals active fee-framework scrutiny, putting provider financial governance and consumer-rights controls directly in scope for assurance engagements. Ahpra is simultaneously running a prescribing-standards enforcement cycle, peptides, off-label, and compounded medicines, alongside a practitioner codes of conduct consultation and a new IPCP accreditation framework, indicating a sustained regulatory uplift period across the health workforce that generates L&amp;D, policy, and compliance advisory demand. KPMG's health and human services practice has concurrent entry points across all three regulators with differentiated offerings spanning compliance readiness, financial governance, and workforce capability.</w:t>
      </w:r>
    </w:p>
    <w:p>
      <w:pPr>
        <w:pStyle w:val="body_letter"/>
      </w:pPr>
      <w:r>
        <w:rPr>
          <w:rFonts w:ascii="Arial" w:hAnsi="Arial"/>
          <w:b/>
          <w:color w:val="000000"/>
          <w:sz w:val="19"/>
        </w:rPr>
        <w:t>Energy, Mining &amp; Property</w:t>
      </w:r>
    </w:p>
    <w:p>
      <w:pPr>
        <w:pStyle w:val="body_letter"/>
      </w:pPr>
      <w:r>
        <w:rPr>
          <w:rFonts w:ascii="Arial" w:hAnsi="Arial"/>
          <w:b w:val="0"/>
          <w:color w:val="000000"/>
          <w:sz w:val="19"/>
        </w:rPr>
        <w:t>Energy ministers have put electricity market reforms on an express track, compressing the window for industry and advisory input into network and market design changes that are self-described as 'incredibly ambitious', a signal that regulators will need rapid capability uplift and that KPMG's energy transition bench has a narrow but high-value submission window. Concurrently, the AER has opened consultation on draft DMO guidelines, and the governance question of who regulates rooftop solar, plug-in batteries and EVs remains unresolved between Commonwealth and state bodies, creating a structural advisory gap in distributed energy resource (DER) policy design. ESC Victoria has taken enforcement action against two VEU-accredited parties (Royal One suspension; MYOM certificate surrender), reinforcing that Victoria's energy efficiency scheme is in active compliance enforcement mode and that scheme participants face real accreditation risk. The ESC has also released water price submission guidance, opening a regulatory economics engagement for water businesses preparing periodic pricing proposals.</w:t>
      </w:r>
    </w:p>
    <w:p>
      <w:pPr>
        <w:pStyle w:val="body_letter"/>
      </w:pPr>
      <w:r>
        <w:rPr>
          <w:rFonts w:ascii="Arial" w:hAnsi="Arial"/>
          <w:b/>
          <w:color w:val="000000"/>
          <w:sz w:val="19"/>
        </w:rPr>
        <w:t>National Security &amp; Justice</w:t>
      </w:r>
    </w:p>
    <w:p>
      <w:pPr>
        <w:pStyle w:val="body_letter"/>
      </w:pPr>
      <w:r>
        <w:rPr>
          <w:rFonts w:ascii="Arial" w:hAnsi="Arial"/>
          <w:b w:val="0"/>
          <w:color w:val="000000"/>
          <w:sz w:val="19"/>
        </w:rPr>
        <w:t>The fortnight is defined by three converging enforcement-to-legislation cycles that signal significant advisory demand: illicit tobacco enforcement is scaling to new legislative powers (ABF depot shutdowns, Labor modelling excise cuts, Police and Customs gaining new enforcement tools), creating implementation and change-management pull-through across Border Force and state police; the ACIC has lodged a submission to the PJCIS signalling an active intelligence-capability review with likely gaps in data-sharing, technology, and workforce that KPMG can position against; and the eSafety Commissioner's first empirical report on the social-media minimum-age regime confirms the regulation is entering an implementation stress-test phase, with the August 2026 symposium indicating eSafety is actively seeking external expertise on monitoring and enforcement architecture. AUSTRAC's professional designated-services expansion and the AFP's joint-agency corrupt-conduct charge (APS employee) reinforce a broader integrity and AML/CTF compliance uplift cycle across Commonwealth agencies.</w:t>
      </w:r>
    </w:p>
    <w:p>
      <w:pPr>
        <w:pStyle w:val="body_letter"/>
      </w:pPr>
      <w:r>
        <w:rPr>
          <w:rFonts w:ascii="Arial" w:hAnsi="Arial"/>
          <w:b/>
          <w:color w:val="000000"/>
          <w:sz w:val="19"/>
        </w:rPr>
        <w:t>Defence</w:t>
      </w:r>
    </w:p>
    <w:p>
      <w:pPr>
        <w:pStyle w:val="body_letter"/>
      </w:pPr>
      <w:r>
        <w:rPr>
          <w:rFonts w:ascii="Arial" w:hAnsi="Arial"/>
          <w:b w:val="0"/>
          <w:color w:val="000000"/>
          <w:sz w:val="19"/>
        </w:rPr>
        <w:t>The appointment of a designer for Australia's nuclear-powered submarine dry dock marks the most significant AUKUS programme milestone to date, confirming sustained Commonwealth capital commitment to sovereign naval infrastructure and creating near-term demand for programme assurance, procurement advisory, and workforce capability uplift across the industrial base. Proposed DFAT restrictions on military exports linked to human rights risks signal a tightening of the export control framework, driving compliance-uplift demand across defence primes and tier-two suppliers that lack mature trade controls programs. The disappearance of classified F-35 components in Hong Kong exposes material gaps in supply chain governance and security-cleared asset management, directly reinforcing a supply chain risk and assurance pitch to Defence and its prime contractors. A high-profile contract termination after 26 years signals Defence's appetite to exit entrenched arrangements, opening transition advisory and lessons-learned mandates ahead of the next procurement cycle.</w:t>
      </w:r>
    </w:p>
    <w:p>
      <w:pPr>
        <w:pStyle w:val="body_letter"/>
      </w:pPr>
      <w:r>
        <w:rPr>
          <w:rFonts w:ascii="Arial" w:hAnsi="Arial"/>
          <w:b/>
          <w:color w:val="000000"/>
          <w:sz w:val="19"/>
        </w:rPr>
        <w:t>Transport</w:t>
      </w:r>
    </w:p>
    <w:p>
      <w:pPr>
        <w:pStyle w:val="body_letter"/>
      </w:pPr>
      <w:r>
        <w:rPr>
          <w:rFonts w:ascii="Arial" w:hAnsi="Arial"/>
          <w:b w:val="0"/>
          <w:color w:val="000000"/>
          <w:sz w:val="19"/>
        </w:rPr>
        <w:t>Airservices Australia's 2026-27 Corporate Plan signals a planned investment cycle in safe, efficient and environmentally responsible service delivery, a direct entry point for strategy, digital transformation and sustainability advisory. CASA is simultaneously moving through multiple reform streams: Part 138 aerial work digitised via myCASA, annual VH registration consultation closed, and Class 5 medicals confirmed unchanged, each a discrete regulatory-change project requiring implementation support across the aviation operator base. On surface transport, Victoria's open consultation on heavy vehicle driver licensing reform creates a near-term policy advisory window, while two enforcement actions (national heavy vehicle blitz and SA operator groundings) underscore a hardened compliance environment that sharpens operator demand for risk and assurance work. The rail skills portability initiative across jurisdictions adds a workforce-capability thread with clear L&amp;D and change-management pull-through for the broader transport sector.</w:t>
      </w:r>
    </w:p>
    <w:p>
      <w:pPr>
        <w:pStyle w:val="body_letter"/>
      </w:pPr>
      <w:r>
        <w:rPr>
          <w:rFonts w:ascii="Arial" w:hAnsi="Arial"/>
          <w:b/>
          <w:color w:val="000000"/>
          <w:sz w:val="19"/>
        </w:rPr>
        <w:t>Education</w:t>
      </w:r>
    </w:p>
    <w:p>
      <w:pPr>
        <w:pStyle w:val="body_letter"/>
      </w:pPr>
      <w:r>
        <w:rPr>
          <w:rFonts w:ascii="Arial" w:hAnsi="Arial"/>
          <w:b w:val="0"/>
          <w:color w:val="000000"/>
          <w:sz w:val="19"/>
        </w:rPr>
        <w:t>TEQSA has materially escalated its enforcement posture this fortnight, imposing registration conditions on ANU following governance failures and concluding compliance actions against at least two private higher education providers (OneGlobe and Opulence Institutes), alongside a Bachelor of IT course-level decision, signalling a sector-wide compliance sweep rather than isolated incidents. The ANU intervention is TEQSA's most significant action against a Group of Eight institution in recent memory and creates a live pursuit lead for board governance review, risk assurance, and executive capability advisory. Concurrent Commonwealth investment through Free TAFE sustains demand for workforce strategy and program design advisory across the VET sector. The Coalition's flagged curriculum reform agenda adds a policy-risk dimension that clients across the sector will need to navigate regardless of electoral timing.</w:t>
      </w:r>
    </w:p>
    <w:p>
      <w:pPr>
        <w:pStyle w:val="subheading_letter"/>
      </w:pPr>
      <w:r>
        <w:rPr>
          <w:rFonts w:ascii="Arial" w:hAnsi="Arial"/>
          <w:b/>
          <w:color w:val="76D2FF"/>
          <w:sz w:val="21"/>
        </w:rPr>
        <w:t>Jurisdiction signals</w:t>
      </w:r>
    </w:p>
    <w:p>
      <w:pPr>
        <w:pStyle w:val="body_letter"/>
      </w:pPr>
      <w:r>
        <w:rPr>
          <w:rFonts w:ascii="Arial" w:hAnsi="Arial"/>
          <w:b/>
          <w:color w:val="000000"/>
          <w:sz w:val="19"/>
        </w:rPr>
        <w:t>Commonwealth</w:t>
      </w:r>
    </w:p>
    <w:p>
      <w:pPr>
        <w:pStyle w:val="body_letter"/>
      </w:pPr>
      <w:r>
        <w:rPr>
          <w:rFonts w:ascii="Arial" w:hAnsi="Arial"/>
          <w:b w:val="0"/>
          <w:color w:val="000000"/>
          <w:sz w:val="19"/>
        </w:rPr>
        <w:t>The Commonwealth regulatory environment is under simultaneous reform pressure across digital, privacy, and financial services. The digital duty of care exposure draft, attracting analysis from multiple major law firms, imposes significant new compliance obligations on online platforms and AI services, creating immediate advisory demand for affected industries. The draft Privacy Act amendments compound compliance complexity for data-handling businesses, while Comcare has publicly committed to a tougher enforcement posture across federal agencies, signalling elevated workplace psychosocial and safety risk for Commonwealth entities. In financial services, the regulatory reform omnibus bill has passed with amended CSLR levy disallowance provisions, and government has rejected Senate Committee recommendations for major ASIC structural changes, narrowing the reform window for that sector.</w:t>
      </w:r>
    </w:p>
    <w:p>
      <w:pPr>
        <w:pStyle w:val="body_letter"/>
      </w:pPr>
      <w:r>
        <w:rPr>
          <w:rFonts w:ascii="Arial" w:hAnsi="Arial"/>
          <w:b/>
          <w:color w:val="000000"/>
          <w:sz w:val="19"/>
        </w:rPr>
        <w:t>New South Wales</w:t>
      </w:r>
    </w:p>
    <w:p>
      <w:pPr>
        <w:pStyle w:val="body_letter"/>
      </w:pPr>
      <w:r>
        <w:rPr>
          <w:rFonts w:ascii="Arial" w:hAnsi="Arial"/>
          <w:b w:val="0"/>
          <w:color w:val="000000"/>
          <w:sz w:val="19"/>
        </w:rPr>
        <w:t>NSW Parliament has passed multiple significant pieces of legislation this period: new organised crime disruption and enforcement laws (articles 6 and 10), medicinal cannabis driving reforms, and Crown land reforms, collectively expanding regulatory obligations and agency powers across criminal justice, transport, and property sectors. SafeWork NSW has issued formal psychosocial risk notices to the Moree Plains region, signalling an enforcement priority shift toward psychological safety in workplaces, while a property developer (Bathla) has been exposed to 300 safety breaches prior to collapse, heightening building compliance scrutiny. The NSW Government is intensifying ECEC compliance oversight and has commenced a strategic forestry assessment, with a floodplain watchdog admission adding pressure for environmental regulatory action. Advisory opportunities are immediate across criminal compliance, property development due diligence, workplace psychosocial risk, early childhood education, and environmental and forestry regulation.</w:t>
      </w:r>
    </w:p>
    <w:p>
      <w:pPr>
        <w:pStyle w:val="body_letter"/>
      </w:pPr>
      <w:r>
        <w:rPr>
          <w:rFonts w:ascii="Arial" w:hAnsi="Arial"/>
          <w:b/>
          <w:color w:val="000000"/>
          <w:sz w:val="19"/>
        </w:rPr>
        <w:t>Victoria</w:t>
      </w:r>
    </w:p>
    <w:p>
      <w:pPr>
        <w:pStyle w:val="body_letter"/>
      </w:pPr>
      <w:r>
        <w:rPr>
          <w:rFonts w:ascii="Arial" w:hAnsi="Arial"/>
          <w:b w:val="0"/>
          <w:color w:val="000000"/>
          <w:sz w:val="19"/>
        </w:rPr>
        <w:t>IBAC has issued a damning assessment of a decade of integrity erosion in Victoria, coinciding with a corruption conviction of senior rail officials over contract fraud, signalling heightened anti-corruption enforcement and governance reform pressure across Victorian public sector clients. Victoria is simultaneously advancing multiple regulatory frameworks: new retirement village laws, multicultural/multifaith governance reforms, and a landmark prefabrication registration regime with attached penalties for the building sector. Environmental and tenancy enforcement is intensifying, with EPA Victoria conducting snap compliance blitzes on waste operators, a parliamentary inquiry recommending stronger oversight of waste-to-energy projects, and the rental taskforce being made permanent with expanded landlord crackdown powers. Advisory opportunities span public sector integrity uplift, building industry compliance (prefab registration), property management, environmental licensing, and electoral compliance given new VEC authorisation guidance.</w:t>
      </w:r>
    </w:p>
    <w:p>
      <w:pPr>
        <w:pStyle w:val="body_letter"/>
      </w:pPr>
      <w:r>
        <w:rPr>
          <w:rFonts w:ascii="Arial" w:hAnsi="Arial"/>
          <w:b/>
          <w:color w:val="000000"/>
          <w:sz w:val="19"/>
        </w:rPr>
        <w:t>Queensland</w:t>
      </w:r>
    </w:p>
    <w:p>
      <w:pPr>
        <w:pStyle w:val="body_letter"/>
      </w:pPr>
      <w:r>
        <w:rPr>
          <w:rFonts w:ascii="Arial" w:hAnsi="Arial"/>
          <w:b w:val="0"/>
          <w:color w:val="000000"/>
          <w:sz w:val="19"/>
        </w:rPr>
        <w:t>Queensland's regulatory environment is seeing significant enforcement recalibration and legislative activity across multiple sectors. The QBCC has released a 2026-2030 enforcement strategy consolidating its focus to eight priority harms, replacing the prior fifteen-point framework and signalling a sharper, more targeted approach to construction sector compliance advisory. Queensland's workplace safety regulator has reopened its inquiry into The Star Brisbane following a worker's death, compounding existing compliance carnage at the casino as leaked recordings expose executive hostility toward regulators and internal governance failures, presenting material advisory opportunity around casino compliance remediation. Concurrently, the Queensland Government has enacted mining legislative reforms welcomed by industry, updated the Education and Care Services Regulation 2026 with strengthened requirements, and is consulting on bail law reform, while childcare enforcement actions and a new Ombudsman appointment reinforce multi-sector regulatory oversight pressure.</w:t>
      </w:r>
    </w:p>
    <w:p>
      <w:pPr>
        <w:pStyle w:val="body_letter"/>
      </w:pPr>
      <w:r>
        <w:rPr>
          <w:rFonts w:ascii="Arial" w:hAnsi="Arial"/>
          <w:b/>
          <w:color w:val="000000"/>
          <w:sz w:val="19"/>
        </w:rPr>
        <w:t>Western Australia</w:t>
      </w:r>
    </w:p>
    <w:p>
      <w:pPr>
        <w:pStyle w:val="body_letter"/>
      </w:pPr>
      <w:r>
        <w:rPr>
          <w:rFonts w:ascii="Arial" w:hAnsi="Arial"/>
          <w:b w:val="0"/>
          <w:color w:val="000000"/>
          <w:sz w:val="19"/>
        </w:rPr>
        <w:t>WA has issued its first infringement notice under the short-stay accommodation laws, signalling active enforcement of a recently enacted framework and flagging immediate compliance obligations for property operators and platforms. The state government has launched an Alternative Electricity Services (AES) framework, creating new licensing and compliance obligations for non-traditional electricity providers that warrants close monitoring by energy sector clients. The WA Government is appealing the Yindjibarndi native title ruling, which carries material implications for resources sector land access approvals and project timelines. Local government electoral reforms are also advancing, adding to a busy WA legislative agenda with downstream compliance obligations for councils and industry stakeholders.</w:t>
      </w:r>
    </w:p>
    <w:p>
      <w:pPr>
        <w:pStyle w:val="body_letter"/>
      </w:pPr>
      <w:r>
        <w:rPr>
          <w:rFonts w:ascii="Arial" w:hAnsi="Arial"/>
          <w:b/>
          <w:color w:val="000000"/>
          <w:sz w:val="19"/>
        </w:rPr>
        <w:t>South Australia</w:t>
      </w:r>
    </w:p>
    <w:p>
      <w:pPr>
        <w:pStyle w:val="body_letter"/>
      </w:pPr>
      <w:r>
        <w:rPr>
          <w:rFonts w:ascii="Arial" w:hAnsi="Arial"/>
          <w:b w:val="0"/>
          <w:color w:val="000000"/>
          <w:sz w:val="19"/>
        </w:rPr>
        <w:t>SafeWork SA is pursuing active prosecutions on two separate fronts, charges following a fatal outback plane crash and against a juice manufacturer after a workplace ceiling collapse, signalling sustained WHS enforcement intensity that warrants client risk reviews across aviation, food manufacturing and site-safety sectors. SA Police and transport authorities conducted a coordinated heavy vehicle safety blitz intercepting 203 vehicles and grounding a road train, with a separate SA operator simultaneously facing groundings for alleged major safety defects, indicating heightened transport compliance scrutiny. SA Consumer and Business Services has commenced a crackdown on alleged misuse of housing contract sunset clauses, creating immediate advisory demand for property developers and conveyancers operating in the state. SA has formally committed to a domestic violence royal commission five-year implementation plan accompanied by new alcohol delivery restrictions, opening compliance and policy advisory opportunities across the hospitality, retail liquor and community services sectors.</w:t>
      </w:r>
    </w:p>
    <w:p>
      <w:pPr>
        <w:pStyle w:val="body_letter"/>
      </w:pPr>
      <w:r>
        <w:rPr>
          <w:rFonts w:ascii="Arial" w:hAnsi="Arial"/>
          <w:b/>
          <w:color w:val="000000"/>
          <w:sz w:val="19"/>
        </w:rPr>
        <w:t>Tasmania</w:t>
      </w:r>
    </w:p>
    <w:p>
      <w:pPr>
        <w:pStyle w:val="body_letter"/>
      </w:pPr>
      <w:r>
        <w:rPr>
          <w:rFonts w:ascii="Arial" w:hAnsi="Arial"/>
          <w:b w:val="0"/>
          <w:color w:val="000000"/>
          <w:sz w:val="19"/>
        </w:rPr>
        <w:t>Tasmania's parliament has passed the Residential Parks Bill and charitable red tape reduction legislation, while advancing climate reforms and Commission of Inquiry procedural amendments, creating compliance uplift opportunities for operators in the parks, charity, and environmental sectors. A Legislative Council inquiry into the abandoned cashless pokies card has commenced alongside mounting scrutiny of pokies losses ($18.1M), signalling renewed gambling regulation risk for hospitality and gaming clients. The state government's deferral of gun law reform and offloading of Safe Farming Tasmania reflect broader machinery-of-government shifts, while a review of Forest Practices investigations following farmer protests points to potential recalibration of primary industries enforcement. Hobart council's public rejection of the new planning portal as 'unfit for purpose' flags implementation risk in the state's planning reform agenda.</w:t>
      </w:r>
    </w:p>
    <w:p>
      <w:pPr>
        <w:pStyle w:val="body_letter"/>
      </w:pPr>
      <w:r>
        <w:rPr>
          <w:rFonts w:ascii="Arial" w:hAnsi="Arial"/>
          <w:b/>
          <w:color w:val="000000"/>
          <w:sz w:val="19"/>
        </w:rPr>
        <w:t>Australian Capital Territory</w:t>
      </w:r>
    </w:p>
    <w:p>
      <w:pPr>
        <w:pStyle w:val="body_letter"/>
      </w:pPr>
      <w:r>
        <w:rPr>
          <w:rFonts w:ascii="Arial" w:hAnsi="Arial"/>
          <w:b w:val="0"/>
          <w:color w:val="000000"/>
          <w:sz w:val="19"/>
        </w:rPr>
        <w:t>The ACT Government has announced significant gaming reforms, including proposed cashless gaming requirements and a reduction in poker machines, signalling a major compliance and licensing overhaul for gaming operators in the territory. Access Canberra drew scrutiny after cancelling 19-year-old traffic infringement notices, raising questions about enforcement integrity and administrative process governance. A broader AI-related traffic camera error affecting thousands of Australian drivers has put AI-assisted enforcement tools under regulatory pressure, with implications for ACT's own enforcement systems. These developments, alongside ACT bail reform being advanced without supporting data, point to heightened legislative activity and administrative accountability risks across the territory.</w:t>
      </w:r>
    </w:p>
    <w:p>
      <w:pPr>
        <w:pStyle w:val="body_letter"/>
      </w:pPr>
      <w:r>
        <w:rPr>
          <w:rFonts w:ascii="Arial" w:hAnsi="Arial"/>
          <w:b/>
          <w:color w:val="000000"/>
          <w:sz w:val="19"/>
        </w:rPr>
        <w:t>Northern Territory</w:t>
      </w:r>
    </w:p>
    <w:p>
      <w:pPr>
        <w:pStyle w:val="body_letter"/>
      </w:pPr>
      <w:r>
        <w:rPr>
          <w:rFonts w:ascii="Arial" w:hAnsi="Arial"/>
          <w:b w:val="0"/>
          <w:color w:val="000000"/>
          <w:sz w:val="19"/>
        </w:rPr>
        <w:t>The NT regulatory landscape is dominated by enforcement action against Inpex over emissions under-reporting at the Ichthys LNG facility, with prosecution now underway and the NT EPA simultaneously recommending tighter pollution controls for both Inpex and Santos at Darwin LNG plants, a clear signal of escalating environmental compliance expectations across the NT resources sector. NT harbour oversight has also tightened, with Ichthys LNG facing separate court proceedings on maritime compliance. On governance, the NT government has declined to investigate CDU and Batchelor Institute amid ongoing scandals, substituting KPI frameworks instead, an advisory opportunity around tertiary sector accountability structures. The national commissioner's public criticism of NT child protection changes adds federal-territory tension to the welfare compliance space.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14"/>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asic.gov.au/about-asic/news-centre/find-a-media-release/2026-releases/26-212mr-three-super-funds-issued-infringement-notices-for-misleading-investment-disclosures/" TargetMode="External"/><Relationship Id="rId11" Type="http://schemas.openxmlformats.org/officeDocument/2006/relationships/hyperlink" Target="https://www.asic.gov.au/about-asic/news-centre/find-a-media-release/2026-releases/26-219mr-asic-takes-action-to-protect-investors-in-star-investment-group-australia-scheme" TargetMode="External"/><Relationship Id="rId12" Type="http://schemas.openxmlformats.org/officeDocument/2006/relationships/hyperlink" Target="https://www.kennedyslaw.com/en/thought-leadership/article/2026/apra-v-bedingo-and-adelaide-bank-a-wake-up-call-for-directors-and-officers/" TargetMode="External"/><Relationship Id="rId13" Type="http://schemas.openxmlformats.org/officeDocument/2006/relationships/hyperlink" Target="https://www.financialstandard.com.au/news/regulatory-reform-omnibus-bill-passage-trims-cslr-levy-disallowance-period-179813959"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