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483516"/>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483516"/>
                    </a:xfrm>
                    <a:prstGeom prst="rect"/>
                  </pic:spPr>
                </pic:pic>
              </a:graphicData>
            </a:graphic>
          </wp:inline>
        </w:drawing>
      </w:r>
    </w:p>
    <w:p>
      <w:pPr>
        <w:pStyle w:val="Heading1"/>
      </w:pPr>
      <w:r>
        <w:t>KPMG Regulatory Transformation Fortnightly Brief - 13-26 July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26 July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Australia's regulatory landscape is dominated by higher education compliance pressures, with TEQSA and ASQA issuing joint alerts on overseas student transfers, the agent commission ban drawing scrutiny, and the federal government signalling a crackdown on antisemitism at universities, all while the Department of Employment and Workplace Relations releases a substantive report on AI and employment that positions workforce transition as a cross-sector regulatory priority. The most significant advisory opportunity lies in the convergence of higher education regulatory tightening and the AI and employment agenda, where institutions and government agencies alike face mounting compliance obligations without the analytical capability or governance frameworks to manage them coherently. Brief our higher education and workforce advisory teams to develop a targeted engagement proposition for institutions navigating TEQSA threshold standard amendments and agent commission compliance, and align this with our AI governance offering given the federal government's focus on AI and employment impacts.</w:t>
      </w:r>
    </w:p>
    <w:p>
      <w:pPr>
        <w:pStyle w:val="subheading_letter"/>
      </w:pPr>
      <w:r>
        <w:rPr>
          <w:rFonts w:ascii="Arial" w:hAnsi="Arial"/>
          <w:b/>
          <w:color w:val="76D2FF"/>
          <w:sz w:val="21"/>
        </w:rPr>
        <w:t>Regulators in the news (this fortnight)</w:t>
      </w:r>
    </w:p>
    <w:p>
      <w:pPr>
        <w:pStyle w:val="body_letter"/>
      </w:pPr>
      <w:r>
        <w:rPr>
          <w:rFonts w:ascii="Arial" w:hAnsi="Arial"/>
          <w:i/>
          <w:color w:val="666666"/>
          <w:sz w:val="19"/>
        </w:rPr>
        <w:t>No regulator-in-news signal this fortnight, see Themes below.</w:t>
      </w:r>
    </w:p>
    <w:p>
      <w:pPr>
        <w:pStyle w:val="subheading_letter"/>
      </w:pPr>
      <w:r>
        <w:rPr>
          <w:rFonts w:ascii="Arial" w:hAnsi="Arial"/>
          <w:b/>
          <w:color w:val="76D2FF"/>
          <w:sz w:val="21"/>
        </w:rPr>
        <w:t>Our clients in the news</w:t>
      </w:r>
    </w:p>
    <w:p>
      <w:pPr>
        <w:pStyle w:val="body_letter"/>
      </w:pPr>
      <w:r>
        <w:rPr>
          <w:rFonts w:ascii="Arial" w:hAnsi="Arial"/>
          <w:b/>
          <w:color w:val="000000"/>
          <w:sz w:val="19"/>
        </w:rPr>
        <w:t>Victoria</w:t>
      </w:r>
    </w:p>
    <w:p>
      <w:pPr>
        <w:pStyle w:val="ListBullet"/>
      </w:pPr>
      <w:r>
        <w:rPr>
          <w:rFonts w:ascii="Arial" w:hAnsi="Arial"/>
          <w:b/>
          <w:color w:val="000000"/>
          <w:sz w:val="19"/>
        </w:rPr>
        <w:t>Commission for Children and Young People</w:t>
      </w:r>
      <w:r>
        <w:rPr>
          <w:rFonts w:ascii="Arial" w:hAnsi="Arial"/>
          <w:color w:val="000000"/>
          <w:sz w:val="19"/>
        </w:rPr>
        <w:t xml:space="preserve"> - </w:t>
      </w:r>
      <w:r>
        <w:rPr>
          <w:rFonts w:ascii="Arial" w:hAnsi="Arial"/>
          <w:color w:val="000000"/>
          <w:sz w:val="19"/>
        </w:rPr>
        <w:t>Child protection inquiry finds systemic reporting failures</w:t>
      </w:r>
    </w:p>
    <w:p>
      <w:pPr>
        <w:pStyle w:val="ListBullet"/>
      </w:pPr>
      <w:r>
        <w:rPr>
          <w:rFonts w:ascii="Arial" w:hAnsi="Arial"/>
          <w:b/>
          <w:color w:val="000000"/>
          <w:sz w:val="19"/>
        </w:rPr>
        <w:t>Consumer Affairs Victoria</w:t>
      </w:r>
      <w:r>
        <w:rPr>
          <w:rFonts w:ascii="Arial" w:hAnsi="Arial"/>
          <w:color w:val="000000"/>
          <w:sz w:val="19"/>
        </w:rPr>
        <w:t xml:space="preserve"> - </w:t>
      </w:r>
      <w:r>
        <w:rPr>
          <w:rFonts w:ascii="Arial" w:hAnsi="Arial"/>
          <w:color w:val="000000"/>
          <w:sz w:val="19"/>
        </w:rPr>
        <w:t>Estate agency prosecuted for systemic underquoting</w:t>
      </w:r>
    </w:p>
    <w:p>
      <w:pPr>
        <w:pStyle w:val="ListBullet"/>
      </w:pPr>
      <w:r>
        <w:rPr>
          <w:rFonts w:ascii="Arial" w:hAnsi="Arial"/>
          <w:b/>
          <w:color w:val="000000"/>
          <w:sz w:val="19"/>
        </w:rPr>
        <w:t>Victorian Gambling and Casino Control Commission</w:t>
      </w:r>
      <w:r>
        <w:rPr>
          <w:rFonts w:ascii="Arial" w:hAnsi="Arial"/>
          <w:color w:val="000000"/>
          <w:sz w:val="19"/>
        </w:rPr>
        <w:t xml:space="preserve"> - </w:t>
      </w:r>
      <w:r>
        <w:rPr>
          <w:rFonts w:ascii="Arial" w:hAnsi="Arial"/>
          <w:color w:val="000000"/>
          <w:sz w:val="19"/>
        </w:rPr>
        <w:t>VGCCC hosts Cambodia regulator on casino oversight</w:t>
      </w:r>
    </w:p>
    <w:p>
      <w:pPr>
        <w:pStyle w:val="body_letter"/>
      </w:pPr>
      <w:r>
        <w:rPr>
          <w:rFonts w:ascii="Arial" w:hAnsi="Arial"/>
          <w:b/>
          <w:color w:val="000000"/>
          <w:sz w:val="19"/>
        </w:rPr>
        <w:t>Commonwealth</w:t>
      </w:r>
    </w:p>
    <w:p>
      <w:pPr>
        <w:pStyle w:val="ListBullet"/>
      </w:pPr>
      <w:r>
        <w:rPr>
          <w:rFonts w:ascii="Arial" w:hAnsi="Arial"/>
          <w:b/>
          <w:color w:val="000000"/>
          <w:sz w:val="19"/>
        </w:rPr>
        <w:t>Tertiary Education Quality and Standards Agency</w:t>
      </w:r>
      <w:r>
        <w:rPr>
          <w:rFonts w:ascii="Arial" w:hAnsi="Arial"/>
          <w:color w:val="000000"/>
          <w:sz w:val="19"/>
        </w:rPr>
        <w:t xml:space="preserve"> - </w:t>
      </w:r>
      <w:r>
        <w:rPr>
          <w:rFonts w:ascii="Arial" w:hAnsi="Arial"/>
          <w:color w:val="000000"/>
          <w:sz w:val="19"/>
        </w:rPr>
        <w:t>TEQSA and ASQA issue joint overseas student compliance alert</w:t>
      </w:r>
    </w:p>
    <w:p>
      <w:pPr>
        <w:pStyle w:val="ListBullet"/>
      </w:pPr>
      <w:r>
        <w:rPr>
          <w:rFonts w:ascii="Arial" w:hAnsi="Arial"/>
          <w:b/>
          <w:color w:val="000000"/>
          <w:sz w:val="19"/>
        </w:rPr>
        <w:t>Department of Employment and Workplace Relations</w:t>
      </w:r>
      <w:r>
        <w:rPr>
          <w:rFonts w:ascii="Arial" w:hAnsi="Arial"/>
          <w:color w:val="000000"/>
          <w:sz w:val="19"/>
        </w:rPr>
        <w:t xml:space="preserve"> - </w:t>
      </w:r>
      <w:r>
        <w:rPr>
          <w:rFonts w:ascii="Arial" w:hAnsi="Arial"/>
          <w:color w:val="000000"/>
          <w:sz w:val="19"/>
        </w:rPr>
        <w:t>DEWR releases AI and employment report</w:t>
      </w:r>
    </w:p>
    <w:p>
      <w:pPr>
        <w:pStyle w:val="ListBullet"/>
      </w:pPr>
      <w:r>
        <w:rPr>
          <w:rFonts w:ascii="Arial" w:hAnsi="Arial"/>
          <w:b/>
          <w:color w:val="000000"/>
          <w:sz w:val="19"/>
        </w:rPr>
        <w:t>Therapeutic Goods Administration</w:t>
      </w:r>
      <w:r>
        <w:rPr>
          <w:rFonts w:ascii="Arial" w:hAnsi="Arial"/>
          <w:color w:val="000000"/>
          <w:sz w:val="19"/>
        </w:rPr>
        <w:t xml:space="preserve"> - </w:t>
      </w:r>
      <w:r>
        <w:rPr>
          <w:rFonts w:ascii="Arial" w:hAnsi="Arial"/>
          <w:color w:val="000000"/>
          <w:sz w:val="19"/>
        </w:rPr>
        <w:t>TGA responds publicly to 60 Minutes medical device scrutiny</w:t>
      </w:r>
    </w:p>
    <w:p>
      <w:pPr>
        <w:pStyle w:val="body_letter"/>
      </w:pPr>
      <w:r>
        <w:rPr>
          <w:rFonts w:ascii="Arial" w:hAnsi="Arial"/>
          <w:b/>
          <w:color w:val="000000"/>
          <w:sz w:val="19"/>
        </w:rPr>
        <w:t>New South Wales</w:t>
      </w:r>
    </w:p>
    <w:p>
      <w:pPr>
        <w:pStyle w:val="ListBullet"/>
      </w:pPr>
      <w:r>
        <w:rPr>
          <w:rFonts w:ascii="Arial" w:hAnsi="Arial"/>
          <w:b/>
          <w:color w:val="000000"/>
          <w:sz w:val="19"/>
        </w:rPr>
        <w:t>Independent Commission Against Corruption</w:t>
      </w:r>
      <w:r>
        <w:rPr>
          <w:rFonts w:ascii="Arial" w:hAnsi="Arial"/>
          <w:color w:val="000000"/>
          <w:sz w:val="19"/>
        </w:rPr>
        <w:t xml:space="preserve"> - </w:t>
      </w:r>
      <w:r>
        <w:rPr>
          <w:rFonts w:ascii="Arial" w:hAnsi="Arial"/>
          <w:color w:val="000000"/>
          <w:sz w:val="19"/>
        </w:rPr>
        <w:t>ICAC examines NSW Liberal factional conduct</w:t>
      </w:r>
    </w:p>
    <w:p>
      <w:pPr>
        <w:pStyle w:val="ListBullet"/>
      </w:pPr>
      <w:r>
        <w:rPr>
          <w:rFonts w:ascii="Arial" w:hAnsi="Arial"/>
          <w:b/>
          <w:color w:val="000000"/>
          <w:sz w:val="19"/>
        </w:rPr>
        <w:t>Environment Protection Authority</w:t>
      </w:r>
      <w:r>
        <w:rPr>
          <w:rFonts w:ascii="Arial" w:hAnsi="Arial"/>
          <w:color w:val="000000"/>
          <w:sz w:val="19"/>
        </w:rPr>
        <w:t xml:space="preserve"> - </w:t>
      </w:r>
      <w:r>
        <w:rPr>
          <w:rFonts w:ascii="Arial" w:hAnsi="Arial"/>
          <w:color w:val="000000"/>
          <w:sz w:val="19"/>
        </w:rPr>
        <w:t>NSW EPA releases FOGO business mandate council guidance</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ListBullet"/>
      </w:pPr>
      <w:r>
        <w:rPr>
          <w:rFonts w:ascii="Arial" w:hAnsi="Arial"/>
          <w:b/>
          <w:color w:val="000000"/>
          <w:sz w:val="19"/>
        </w:rPr>
        <w:t>TEQSA and ASQA joint alert on overseas student transfer compliance</w:t>
      </w:r>
      <w:r>
        <w:rPr>
          <w:rFonts w:ascii="Arial" w:hAnsi="Arial"/>
          <w:color w:val="000000"/>
          <w:sz w:val="19"/>
        </w:rPr>
        <w:t xml:space="preserve"> - </w:t>
      </w:r>
      <w:r>
        <w:rPr>
          <w:rFonts w:ascii="Arial" w:hAnsi="Arial"/>
          <w:color w:val="000000"/>
          <w:sz w:val="19"/>
        </w:rPr>
        <w:t>TEQSA and ASQA issued a joint sector alert warning registered providers of serious compliance risks associated with non-genuine overseas student transfers between institutions.</w:t>
      </w:r>
      <w:r>
        <w:rPr>
          <w:rFonts w:ascii="Arial" w:hAnsi="Arial"/>
          <w:color w:val="000000"/>
          <w:sz w:val="19"/>
        </w:rPr>
        <w:t xml:space="preserve"> (</w:t>
      </w:r>
      <w:hyperlink r:id="rId1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Regulators raise compliance concerns over agent commission ban</w:t>
      </w:r>
      <w:r>
        <w:rPr>
          <w:rFonts w:ascii="Arial" w:hAnsi="Arial"/>
          <w:color w:val="000000"/>
          <w:sz w:val="19"/>
        </w:rPr>
        <w:t xml:space="preserve"> - </w:t>
      </w:r>
      <w:r>
        <w:rPr>
          <w:rFonts w:ascii="Arial" w:hAnsi="Arial"/>
          <w:color w:val="000000"/>
          <w:sz w:val="19"/>
        </w:rPr>
        <w:t>Australian regulators flagged compliance concerns about the overseas student agent commission ban, warning providers of risks to international student recruitment integrity and regulatory standing.</w:t>
      </w:r>
      <w:r>
        <w:rPr>
          <w:rFonts w:ascii="Arial" w:hAnsi="Arial"/>
          <w:color w:val="000000"/>
          <w:sz w:val="19"/>
        </w:rPr>
        <w:t xml:space="preserve"> (</w:t>
      </w:r>
      <w:hyperlink r:id="rId1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eSafety Commissioner finds Big Tech blind spots on child sexual extortion</w:t>
      </w:r>
      <w:r>
        <w:rPr>
          <w:rFonts w:ascii="Arial" w:hAnsi="Arial"/>
          <w:color w:val="000000"/>
          <w:sz w:val="19"/>
        </w:rPr>
        <w:t xml:space="preserve"> - </w:t>
      </w:r>
      <w:r>
        <w:rPr>
          <w:rFonts w:ascii="Arial" w:hAnsi="Arial"/>
          <w:color w:val="000000"/>
          <w:sz w:val="19"/>
        </w:rPr>
        <w:t>The eSafety Commissioner released a report finding that major technology platforms have significant blind spots in detecting and preventing sexual extortion targeting children and young adults.</w:t>
      </w:r>
      <w:r>
        <w:rPr>
          <w:rFonts w:ascii="Arial" w:hAnsi="Arial"/>
          <w:color w:val="000000"/>
          <w:sz w:val="19"/>
        </w:rPr>
        <w:t xml:space="preserve"> (</w:t>
      </w:r>
      <w:hyperlink r:id="rId1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TGA and manufacturers respond to medical device safety investigation</w:t>
      </w:r>
      <w:r>
        <w:rPr>
          <w:rFonts w:ascii="Arial" w:hAnsi="Arial"/>
          <w:color w:val="000000"/>
          <w:sz w:val="19"/>
        </w:rPr>
        <w:t xml:space="preserve"> - </w:t>
      </w:r>
      <w:r>
        <w:rPr>
          <w:rFonts w:ascii="Arial" w:hAnsi="Arial"/>
          <w:color w:val="000000"/>
          <w:sz w:val="19"/>
        </w:rPr>
        <w:t>The Therapeutic Goods Administration and device manufacturers issued responses to a broadcast investigation raising public safety concerns about the approval and monitoring of medical devices in…</w:t>
      </w:r>
      <w:r>
        <w:rPr>
          <w:rFonts w:ascii="Arial" w:hAnsi="Arial"/>
          <w:color w:val="000000"/>
          <w:sz w:val="19"/>
        </w:rPr>
        <w:t xml:space="preserve"> (</w:t>
      </w:r>
      <w:hyperlink r:id="rId13">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AI adoption</w:t>
      </w:r>
    </w:p>
    <w:p>
      <w:pPr>
        <w:pStyle w:val="ListBullet"/>
      </w:pPr>
      <w:r>
        <w:rPr>
          <w:rFonts w:ascii="Arial" w:hAnsi="Arial"/>
          <w:b/>
          <w:color w:val="000000"/>
          <w:sz w:val="19"/>
        </w:rPr>
        <w:t>DEWR releases AI and Employment in Australia report</w:t>
      </w:r>
      <w:r>
        <w:rPr>
          <w:rFonts w:ascii="Arial" w:hAnsi="Arial"/>
          <w:color w:val="000000"/>
          <w:sz w:val="19"/>
        </w:rPr>
        <w:t xml:space="preserve"> - </w:t>
      </w:r>
      <w:r>
        <w:rPr>
          <w:rFonts w:ascii="Arial" w:hAnsi="Arial"/>
          <w:color w:val="000000"/>
          <w:sz w:val="19"/>
        </w:rPr>
        <w:t>The Department of Employment and Workplace Relations published its AI and Employment in Australia report, assessing AI-driven workforce disruption and outlining the policy response required to…</w:t>
      </w:r>
      <w:r>
        <w:rPr>
          <w:rFonts w:ascii="Arial" w:hAnsi="Arial"/>
          <w:color w:val="000000"/>
          <w:sz w:val="19"/>
        </w:rPr>
        <w:t xml:space="preserve"> (</w:t>
      </w:r>
      <w:hyperlink r:id="rId1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ACNC charity data made available through BLADE for researchers</w:t>
      </w:r>
      <w:r>
        <w:rPr>
          <w:rFonts w:ascii="Arial" w:hAnsi="Arial"/>
          <w:color w:val="000000"/>
          <w:sz w:val="19"/>
        </w:rPr>
        <w:t xml:space="preserve"> - </w:t>
      </w:r>
      <w:r>
        <w:rPr>
          <w:rFonts w:ascii="Arial" w:hAnsi="Arial"/>
          <w:color w:val="000000"/>
          <w:sz w:val="19"/>
        </w:rPr>
        <w:t>The Australian Charities and Not-for-profits Commission opened its charity dataset through the BLADE platform, enabling approved researchers to apply advanced analytics to drive evidence-based…</w:t>
      </w:r>
      <w:r>
        <w:rPr>
          <w:rFonts w:ascii="Arial" w:hAnsi="Arial"/>
          <w:color w:val="000000"/>
          <w:sz w:val="19"/>
        </w:rPr>
        <w:t xml:space="preserve"> (</w:t>
      </w:r>
      <w:hyperlink r:id="rId15">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Regulatory burden</w:t>
      </w:r>
    </w:p>
    <w:p>
      <w:pPr>
        <w:pStyle w:val="ListBullet"/>
      </w:pPr>
      <w:r>
        <w:rPr>
          <w:rFonts w:ascii="Arial" w:hAnsi="Arial"/>
          <w:b/>
          <w:color w:val="000000"/>
          <w:sz w:val="19"/>
        </w:rPr>
        <w:t>TEQSA announces amendments to Higher Education Threshold Standards</w:t>
      </w:r>
      <w:r>
        <w:rPr>
          <w:rFonts w:ascii="Arial" w:hAnsi="Arial"/>
          <w:color w:val="000000"/>
          <w:sz w:val="19"/>
        </w:rPr>
        <w:t xml:space="preserve"> - </w:t>
      </w:r>
      <w:r>
        <w:rPr>
          <w:rFonts w:ascii="Arial" w:hAnsi="Arial"/>
          <w:color w:val="000000"/>
          <w:sz w:val="19"/>
        </w:rPr>
        <w:t>TEQSA announced amendments to the Higher Education Threshold Standards, placing updated compliance obligations on registered providers and signalling a recalibration of quality benchmarks across the…</w:t>
      </w:r>
      <w:r>
        <w:rPr>
          <w:rFonts w:ascii="Arial" w:hAnsi="Arial"/>
          <w:color w:val="000000"/>
          <w:sz w:val="19"/>
        </w:rPr>
        <w:t xml:space="preserve"> (</w:t>
      </w:r>
      <w:hyperlink r:id="rId1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New NDIS rules expose small disability carers to criminal penalties</w:t>
      </w:r>
      <w:r>
        <w:rPr>
          <w:rFonts w:ascii="Arial" w:hAnsi="Arial"/>
          <w:color w:val="000000"/>
          <w:sz w:val="19"/>
        </w:rPr>
        <w:t xml:space="preserve"> - </w:t>
      </w:r>
      <w:r>
        <w:rPr>
          <w:rFonts w:ascii="Arial" w:hAnsi="Arial"/>
          <w:color w:val="000000"/>
          <w:sz w:val="19"/>
        </w:rPr>
        <w:t>New NDIS regulatory requirements create criminal liability risks for small disability carers, with sector advocates warning that the compliance burden is falling on providers who remain largely…</w:t>
      </w:r>
      <w:r>
        <w:rPr>
          <w:rFonts w:ascii="Arial" w:hAnsi="Arial"/>
          <w:color w:val="000000"/>
          <w:sz w:val="19"/>
        </w:rPr>
        <w:t xml:space="preserve"> (</w:t>
      </w:r>
      <w:hyperlink r:id="rId17">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Training, conferences, webinars &amp; in-person sessions</w:t>
      </w:r>
    </w:p>
    <w:p>
      <w:pPr>
        <w:pStyle w:val="ListBullet"/>
      </w:pPr>
      <w:r>
        <w:rPr>
          <w:rFonts w:ascii="Arial" w:hAnsi="Arial"/>
          <w:b/>
          <w:color w:val="000000"/>
          <w:sz w:val="19"/>
        </w:rPr>
        <w:t>IPAA National Regulatory Governance Forum 2026</w:t>
      </w:r>
      <w:r>
        <w:rPr>
          <w:rFonts w:ascii="Arial" w:hAnsi="Arial"/>
          <w:color w:val="000000"/>
          <w:sz w:val="19"/>
        </w:rPr>
        <w:t xml:space="preserve"> - </w:t>
      </w:r>
      <w:r>
        <w:rPr>
          <w:rFonts w:ascii="Arial" w:hAnsi="Arial"/>
          <w:color w:val="000000"/>
          <w:sz w:val="19"/>
        </w:rPr>
        <w:t>13 Aug 2026 - IPAA · Canberra</w:t>
      </w:r>
    </w:p>
    <w:p>
      <w:pPr>
        <w:pStyle w:val="ListBullet"/>
      </w:pPr>
      <w:r>
        <w:rPr>
          <w:rFonts w:ascii="Arial" w:hAnsi="Arial"/>
          <w:b/>
          <w:color w:val="000000"/>
          <w:sz w:val="19"/>
        </w:rPr>
        <w:t>AHRI Public Sector L&amp;D Symposium</w:t>
      </w:r>
      <w:r>
        <w:rPr>
          <w:rFonts w:ascii="Arial" w:hAnsi="Arial"/>
          <w:color w:val="000000"/>
          <w:sz w:val="19"/>
        </w:rPr>
        <w:t xml:space="preserve"> - </w:t>
      </w:r>
      <w:r>
        <w:rPr>
          <w:rFonts w:ascii="Arial" w:hAnsi="Arial"/>
          <w:color w:val="000000"/>
          <w:sz w:val="19"/>
        </w:rPr>
        <w:t>20 Aug 2026 - AHRI · Sydney</w:t>
      </w:r>
    </w:p>
    <w:p>
      <w:pPr>
        <w:pStyle w:val="subheading_letter"/>
      </w:pPr>
      <w:r>
        <w:rPr>
          <w:rFonts w:ascii="Arial" w:hAnsi="Arial"/>
          <w:b/>
          <w:color w:val="76D2FF"/>
          <w:sz w:val="21"/>
        </w:rPr>
        <w:t>Cross-sector synthesis (hub-wide)</w:t>
      </w:r>
    </w:p>
    <w:p>
      <w:pPr>
        <w:pStyle w:val="body_letter"/>
      </w:pPr>
      <w:r>
        <w:rPr>
          <w:rFonts w:ascii="Arial" w:hAnsi="Arial"/>
          <w:b w:val="0"/>
          <w:color w:val="000000"/>
          <w:sz w:val="19"/>
        </w:rPr>
        <w:t>The fortnight's education regulatory landscape is defined by three compounding signals: TEQSA's aggressive supervisory posture, epitomised by Julie Bishop's public resignation from ANU citing 'coercive threats' and 'overreach', signals a regulator willing to escalate governance interventions, with public servants now mobilised inside ANU and immediate reputational and advisory demand live at the institution. Concurrently, TEQSA's amendments to the Higher Education Threshold Standards and the joint ASQA-TEQSA overseas-student-transfer compliance alert mark a structural uplift cycle that will force governance, student-protection, and international-cohort management investments across the university and VET sectors before the next assessment window. The ATEC Working Group's advancing costing-and-pricing framework creates a near-term financial modelling and strategic advisory window as universities face funding compression, while the Free TAFE expansion and DEWR's AI and employment report signal a sustained workforce-transformation overlay reshaping qualification relevance and delivery models. ASQA's escalation to cancelling childcare qualifications issued by a deregistered RTO, combined with the NCVET-ASQA quality-assurance MOU, accelerates enforcement risk for VET providers and validates an assurance and re-registration advisory offer. KPMG's priority BD investments this fortnight are ANU governance stabilisation, Threshold Standards readiness across the Go8, and VET provider compliance remediation ahead of ASQA enforcement calendar activation.</w:t>
      </w:r>
    </w:p>
    <w:p>
      <w:pPr>
        <w:pStyle w:val="body_letter"/>
      </w:pPr>
      <w:r>
        <w:rPr>
          <w:rFonts w:ascii="Arial" w:hAnsi="Arial"/>
          <w:b/>
          <w:color w:val="000000"/>
          <w:sz w:val="19"/>
        </w:rPr>
        <w:t>Business development priorities</w:t>
      </w:r>
    </w:p>
    <w:p>
      <w:pPr>
        <w:pStyle w:val="ListBullet"/>
      </w:pPr>
      <w:r>
        <w:rPr>
          <w:rFonts w:ascii="Arial" w:hAnsi="Arial"/>
          <w:color w:val="000000"/>
          <w:sz w:val="19"/>
        </w:rPr>
        <w:t>Engage ANU's incoming leadership and Council this week to position KPMG for a governance stabilisation and TEQSA regulatory-relations advisory mandate before external appointments lock in a competitor.</w:t>
      </w:r>
    </w:p>
    <w:p>
      <w:pPr>
        <w:pStyle w:val="ListBullet"/>
      </w:pPr>
      <w:r>
        <w:rPr>
          <w:rFonts w:ascii="Arial" w:hAnsi="Arial"/>
          <w:color w:val="000000"/>
          <w:sz w:val="19"/>
        </w:rPr>
        <w:t>Launch a Threshold Standards readiness diagnostic to the Go8 and ATN university roster, framing it as a pre-assessment risk triage ahead of TEQSA's next compliance cycle.</w:t>
      </w:r>
    </w:p>
    <w:p>
      <w:pPr>
        <w:pStyle w:val="ListBullet"/>
      </w:pPr>
      <w:r>
        <w:rPr>
          <w:rFonts w:ascii="Arial" w:hAnsi="Arial"/>
          <w:color w:val="000000"/>
          <w:sz w:val="19"/>
        </w:rPr>
        <w:t>Convene a targeted CFO roundtable with ATEC Working Group member institutions to establish KPMG's financial modelling and strategic pricing capability ahead of formal sector costing-framework adoption.</w:t>
      </w:r>
    </w:p>
    <w:p>
      <w:pPr>
        <w:pStyle w:val="ListBullet"/>
      </w:pPr>
      <w:r>
        <w:rPr>
          <w:rFonts w:ascii="Arial" w:hAnsi="Arial"/>
          <w:color w:val="000000"/>
          <w:sz w:val="19"/>
        </w:rPr>
        <w:t>Activate a VET compliance remediation offer to childcare and early-education RTO clients citing the ASQA cancellation action as a concrete enforcement precedent requiring immediate gap assessment and re-registration readiness work.</w:t>
      </w:r>
    </w:p>
    <w:p>
      <w:pPr>
        <w:pStyle w:val="ListBullet"/>
      </w:pPr>
      <w:r>
        <w:rPr>
          <w:rFonts w:ascii="Arial" w:hAnsi="Arial"/>
          <w:color w:val="000000"/>
          <w:sz w:val="19"/>
        </w:rPr>
        <w:t>Brief the workforce transformation practice on the DEWR AI and employment report to develop a bundled AI-capability uplift and change advisory proposition for universities and TAFEs facing dual pressure on qualification relevance and teaching model redesign.</w:t>
      </w:r>
    </w:p>
    <w:p>
      <w:pPr>
        <w:pStyle w:val="body_letter"/>
      </w:pPr>
      <w:r>
        <w:rPr>
          <w:rFonts w:ascii="Arial" w:hAnsi="Arial"/>
          <w:b/>
          <w:color w:val="000000"/>
          <w:sz w:val="19"/>
        </w:rPr>
        <w:t>Implications for clients</w:t>
      </w:r>
    </w:p>
    <w:p>
      <w:pPr>
        <w:pStyle w:val="ListBullet"/>
      </w:pPr>
      <w:r>
        <w:rPr>
          <w:rFonts w:ascii="Arial" w:hAnsi="Arial"/>
          <w:color w:val="000000"/>
          <w:sz w:val="19"/>
        </w:rPr>
        <w:t>Engage ANU's incoming leadership and Council this week to position KPMG for a governance stabilisation and TEQSA regulatory-relations advisory mandate before external appointments lock in a competitor.</w:t>
      </w:r>
    </w:p>
    <w:p>
      <w:pPr>
        <w:pStyle w:val="ListBullet"/>
      </w:pPr>
      <w:r>
        <w:rPr>
          <w:rFonts w:ascii="Arial" w:hAnsi="Arial"/>
          <w:color w:val="000000"/>
          <w:sz w:val="19"/>
        </w:rPr>
        <w:t>Launch a Threshold Standards readiness diagnostic to the Go8 and ATN university roster, framing it as a pre-assessment risk triage ahead of TEQSA's next compliance cycle.</w:t>
      </w:r>
    </w:p>
    <w:p>
      <w:pPr>
        <w:pStyle w:val="ListBullet"/>
      </w:pPr>
      <w:r>
        <w:rPr>
          <w:rFonts w:ascii="Arial" w:hAnsi="Arial"/>
          <w:color w:val="000000"/>
          <w:sz w:val="19"/>
        </w:rPr>
        <w:t>Convene a targeted CFO roundtable with ATEC Working Group member institutions to establish KPMG's financial modelling and strategic pricing capability ahead of formal sector costing-framework adoption.</w:t>
      </w:r>
    </w:p>
    <w:p>
      <w:pPr>
        <w:pStyle w:val="ListBullet"/>
      </w:pPr>
      <w:r>
        <w:rPr>
          <w:rFonts w:ascii="Arial" w:hAnsi="Arial"/>
          <w:color w:val="000000"/>
          <w:sz w:val="19"/>
        </w:rPr>
        <w:t>Activate a VET compliance remediation offer to childcare and early-education RTO clients citing the ASQA cancellation action as a concrete enforcement precedent requiring immediate gap assessment and re-registration readiness work.</w:t>
      </w:r>
    </w:p>
    <w:p>
      <w:pPr>
        <w:pStyle w:val="ListBullet"/>
      </w:pPr>
      <w:r>
        <w:rPr>
          <w:rFonts w:ascii="Arial" w:hAnsi="Arial"/>
          <w:color w:val="000000"/>
          <w:sz w:val="19"/>
        </w:rPr>
        <w:t>Brief the workforce transformation practice on the DEWR AI and employment report to develop a bundled AI-capability uplift and change advisory proposition for universities and TAFEs facing dual pressure on qualification relevance and teaching model redesign.</w:t>
      </w:r>
    </w:p>
    <w:p>
      <w:pPr>
        <w:pStyle w:val="subheading_letter"/>
      </w:pPr>
      <w:r>
        <w:rPr>
          <w:rFonts w:ascii="Arial" w:hAnsi="Arial"/>
          <w:b/>
          <w:color w:val="76D2FF"/>
          <w:sz w:val="21"/>
        </w:rPr>
        <w:t>Sector signals</w:t>
      </w:r>
    </w:p>
    <w:p>
      <w:pPr>
        <w:pStyle w:val="body_letter"/>
      </w:pPr>
      <w:r>
        <w:rPr>
          <w:rFonts w:ascii="Arial" w:hAnsi="Arial"/>
          <w:b/>
          <w:color w:val="000000"/>
          <w:sz w:val="19"/>
        </w:rPr>
        <w:t>Public Sector</w:t>
      </w:r>
    </w:p>
    <w:p>
      <w:pPr>
        <w:pStyle w:val="body_letter"/>
      </w:pPr>
      <w:r>
        <w:rPr>
          <w:rFonts w:ascii="Arial" w:hAnsi="Arial"/>
          <w:b w:val="0"/>
          <w:color w:val="000000"/>
          <w:sz w:val="19"/>
        </w:rPr>
        <w:t>The Commonwealth's announcement of Australian Standards for AI shifts the policy intent to implementation obligation, creating immediate advisory demand for AI governance frameworks, risk uplift, and assurance readiness across federal agencies before procurement cycles open. Concurrently, expanding Security of Critical Infrastructure Act requirements are imposing tighter compliance timelines on government-owned and government-adjacent operators, opening assurance and program advisory pursuits particularly in energy and transport portfolios. The APSC's live APS bargaining posture, alongside Tasmania's active state-government workforce retraining initiative for the Liberty Bell Bay cohort, signals a sustained public sector L&amp;D and workforce-transformation pipeline at both Commonwealth and state levels. The Robodebt whistleblower litigation now before the courts continues to focus executive attention on public sector integrity, accountability culture, and protected disclosure frameworks, sustaining demand for culture and governance advisory.</w:t>
      </w:r>
    </w:p>
    <w:p>
      <w:pPr>
        <w:pStyle w:val="body_letter"/>
      </w:pPr>
      <w:r>
        <w:rPr>
          <w:rFonts w:ascii="Arial" w:hAnsi="Arial"/>
          <w:b/>
          <w:color w:val="000000"/>
          <w:sz w:val="19"/>
        </w:rPr>
        <w:t>Financial Services</w:t>
      </w:r>
    </w:p>
    <w:p>
      <w:pPr>
        <w:pStyle w:val="body_letter"/>
      </w:pPr>
      <w:r>
        <w:rPr>
          <w:rFonts w:ascii="Arial" w:hAnsi="Arial"/>
          <w:b w:val="0"/>
          <w:color w:val="000000"/>
          <w:sz w:val="19"/>
        </w:rPr>
        <w:t>The Treasurer's formal riding instructions to APRA and ASIC, reinforced by ASIC's published Statement of Intent, mark a deliberate regulatory pivot toward growth-enabling supervision without softening enforcement, ASIC recorded a record $830 million in civil penalties in 2025-26, signalling simultaneous deregulatory ambition and heightened accountability. The Financial Accountability Regime remains materially underutilised in superannuation, creating an active advisory window for FAR gap assessments and accountability-mapping engagements across super trustees before enforcement posture hardens. Systemic reporting failures at Deutsche Bank (trade reporting, $2M penalty) and NAB's WealthHub ($1M+ breach reporting fine), alongside multiple AFS licence suspensions and wind-up actions, reflect a pattern of governance and controls deficiency that supports assurance, remediation, and managed-services pitches across banking and wealth. Labor's AI-powered regulatory red-tape reduction agenda adds a technology-transformation hook, particularly for institutions facing dual pressure to cut compliance cost while meeting elevated FAR and reporting obligations.</w:t>
      </w:r>
    </w:p>
    <w:p>
      <w:pPr>
        <w:pStyle w:val="body_letter"/>
      </w:pPr>
      <w:r>
        <w:rPr>
          <w:rFonts w:ascii="Arial" w:hAnsi="Arial"/>
          <w:b/>
          <w:color w:val="000000"/>
          <w:sz w:val="19"/>
        </w:rPr>
        <w:t>Health, Ageing &amp; Human Services</w:t>
      </w:r>
    </w:p>
    <w:p>
      <w:pPr>
        <w:pStyle w:val="body_letter"/>
      </w:pPr>
      <w:r>
        <w:rPr>
          <w:rFonts w:ascii="Arial" w:hAnsi="Arial"/>
          <w:b w:val="0"/>
          <w:color w:val="000000"/>
          <w:sz w:val="19"/>
        </w:rPr>
        <w:t>The NDIS Quality and Safeguards Commission's mandatory registration regime represents a structural compliance inflection point for the sector, forcing thousands of currently unregistered providers to meet registration standards under criminal-liability exposure, a direct readiness and governance advisory pull-through. Ahpra's CEO has publicly anchored a multi-year transformation agenda around cultural safety, proactive oversight, and future-ready digital regulation, signalling sustained investment in operating model and capability uplift where KPMG can compete on both strategy and delivery. The TGA's responsive posture to the 60 Minutes medical device investigation, combined with its launch of interactive regulatory e-learning modules, indicates a regulator under reputational and parliamentary pressure investing in stakeholder engagement infrastructure, an environment that rewards a trusted advisory presence. A concurrent CCYP inquiry finding that multiple child protection reports failed to stem harm adds a cross-sector systemic reform signal, reinforcing demand for risk assurance and case-management redesign across human services agencies.</w:t>
      </w:r>
    </w:p>
    <w:p>
      <w:pPr>
        <w:pStyle w:val="body_letter"/>
      </w:pPr>
      <w:r>
        <w:rPr>
          <w:rFonts w:ascii="Arial" w:hAnsi="Arial"/>
          <w:b/>
          <w:color w:val="000000"/>
          <w:sz w:val="19"/>
        </w:rPr>
        <w:t>Energy, Mining &amp; Property</w:t>
      </w:r>
    </w:p>
    <w:p>
      <w:pPr>
        <w:pStyle w:val="body_letter"/>
      </w:pPr>
      <w:r>
        <w:rPr>
          <w:rFonts w:ascii="Arial" w:hAnsi="Arial"/>
          <w:b w:val="0"/>
          <w:color w:val="000000"/>
          <w:sz w:val="19"/>
        </w:rPr>
        <w:t>The AER's Independent Panel report on the 2026 Rate of Return Instrument is the highest-priority regulatory economics signal this fortnight, with the instrument's final settings directly shaping allowable returns across all gas and electricity access arrangements currently in reset, including RBP (2027-32), AusNet Gas, and Multinet (2028-33). APA Group's concurrent advanced capex and South West Pipeline determinations, combined with LMS Energy and AGIG submissions into the Multinet and AusNet resets, mark a concentrated window of network regulatory activity where KPMG's regulatory economics and submission advisory capability can be deployed at scale. The Federal Government's Critical Minerals Production Tax Incentive consultation and the WA project approval anchoring the Australia-US critical minerals pact signal strong upstream investment momentum, generating demand for incentive guidance, project-level due diligence, and compliance program design. Origin Energy's ACCC-mandated customer refund program and the Fair Work regulator's action over unpaid wages on a WA offshore platform are live enforcement signals that reinforce the case for proactive compliance and regulatory risk engagements across energy and resources clients.</w:t>
      </w:r>
    </w:p>
    <w:p>
      <w:pPr>
        <w:pStyle w:val="body_letter"/>
      </w:pPr>
      <w:r>
        <w:rPr>
          <w:rFonts w:ascii="Arial" w:hAnsi="Arial"/>
          <w:b/>
          <w:color w:val="000000"/>
          <w:sz w:val="19"/>
        </w:rPr>
        <w:t>National Security &amp; Justice</w:t>
      </w:r>
    </w:p>
    <w:p>
      <w:pPr>
        <w:pStyle w:val="body_letter"/>
      </w:pPr>
      <w:r>
        <w:rPr>
          <w:rFonts w:ascii="Arial" w:hAnsi="Arial"/>
          <w:b w:val="0"/>
          <w:color w:val="000000"/>
          <w:sz w:val="19"/>
        </w:rPr>
        <w:t>AUSTRAC's publication of AML/CTF program-build resources and professional designated services guidance, timed to the imminent tranche-2 extension of obligations to real estate agents, lawyers, and accountants, signals a step-change in the regulated population that creates an immediate compliance program build-out wave KPMG's financial crime practice should be positioned to capture ahead of implementation deadlines. The ACIC's ten-year wastewater analytics milestone and its consolidation of national policing data under NCIS demonstrate sustained Commonwealth investment in intelligence data capability, opening near-term data architecture, governance, and analytics advisory opportunities. The AFP's Operation Moonbi and ABF's enforcement actions on weapons importation and Russia export-control breaches reinforce an active enforcement cycle across the national security portfolio, which partners should use as a market-activation trigger. KPMG should accelerate real estate and professional-services sector outreach on AML/CTF gap assessments while initiating a scoping conversation with the ACIC account team on the NCIS data-platform expansion.</w:t>
      </w:r>
    </w:p>
    <w:p>
      <w:pPr>
        <w:pStyle w:val="body_letter"/>
      </w:pPr>
      <w:r>
        <w:rPr>
          <w:rFonts w:ascii="Arial" w:hAnsi="Arial"/>
          <w:b/>
          <w:color w:val="000000"/>
          <w:sz w:val="19"/>
        </w:rPr>
        <w:t>Defence</w:t>
      </w:r>
    </w:p>
    <w:p>
      <w:pPr>
        <w:pStyle w:val="body_letter"/>
      </w:pPr>
      <w:r>
        <w:rPr>
          <w:rFonts w:ascii="Arial" w:hAnsi="Arial"/>
          <w:b w:val="0"/>
          <w:color w:val="000000"/>
          <w:sz w:val="19"/>
        </w:rPr>
        <w:t>The Defence portfolio is generating strong forward signals across capability investment, export commercialisation, and data governance reform. The Department of Defence's stated shift to an 'enable, not gatekeep' posture on sensitive data and expertise guidelines creates an immediate advisory opening around industry engagement frameworks, information architecture, and data-sharing governance for prime and sub-prime contractors. Confirmation of AUKUS Pillar II's first signature project formalises a trilateral advanced-capabilities pipeline, driving sustained demand across technology transfer governance, program assurance, and sovereign industrial base development. Australia's record $2.5b radar export deal with Canada signals a maturing defence export machinery, raising near-term demand for export compliance frameworks, offset obligation structuring, and commercial due diligence support.</w:t>
      </w:r>
    </w:p>
    <w:p>
      <w:pPr>
        <w:pStyle w:val="body_letter"/>
      </w:pPr>
      <w:r>
        <w:rPr>
          <w:rFonts w:ascii="Arial" w:hAnsi="Arial"/>
          <w:b/>
          <w:color w:val="000000"/>
          <w:sz w:val="19"/>
        </w:rPr>
        <w:t>Transport</w:t>
      </w:r>
    </w:p>
    <w:p>
      <w:pPr>
        <w:pStyle w:val="body_letter"/>
      </w:pPr>
      <w:r>
        <w:rPr>
          <w:rFonts w:ascii="Arial" w:hAnsi="Arial"/>
          <w:b w:val="0"/>
          <w:color w:val="000000"/>
          <w:sz w:val="19"/>
        </w:rPr>
        <w:t>AMSA's National Compliance Plan 2026-27 formalises an enforcement uplift cycle targeting operator risk practices and seafarer safety standards, providing a concrete entry point for compliance-readiness and assurance engagements across maritime clients before the enforcement calendar activates. CASA is advancing dual active consultations, annual registration for VH-registered aircraft (PP 2616CS) and expanded drone operations above 400 ft in defined environments (PP 2612US), while Home Affairs runs a parallel drone security consultation, signalling a multi-agency UAS regulatory architecture build that will require operators to redesign compliance frameworks from the ground up. New CASA pathways for UK and US aircraft maintenance engineers and the Bonza commercial approval reinforce underlying aviation workforce and capability gaps, while the Victorian Government's road safety camera technology trial flags state-level transport tech procurement pipeline. KPMG is well-positioned to lead compliance architecture design, risk framework uplift, and implementation advisory across both the maritime enforcement cycle and the converging aviation and UAS regulatory reform agenda.</w:t>
      </w:r>
    </w:p>
    <w:p>
      <w:pPr>
        <w:pStyle w:val="body_letter"/>
      </w:pPr>
      <w:r>
        <w:rPr>
          <w:rFonts w:ascii="Arial" w:hAnsi="Arial"/>
          <w:b/>
          <w:color w:val="000000"/>
          <w:sz w:val="19"/>
        </w:rPr>
        <w:t>Education</w:t>
      </w:r>
    </w:p>
    <w:p>
      <w:pPr>
        <w:pStyle w:val="body_letter"/>
      </w:pPr>
      <w:r>
        <w:rPr>
          <w:rFonts w:ascii="Arial" w:hAnsi="Arial"/>
          <w:b w:val="0"/>
          <w:color w:val="000000"/>
          <w:sz w:val="19"/>
        </w:rPr>
        <w:t>TEQSA's amendments to the Higher Education Threshold Standards and the joint ASQA-TEQSA compliance alert on overseas student transfers signal a sustained regulatory uplift cycle across both university and VET sectors, with provider governance, student protections, and international cohort management all under heightened scrutiny. The ATEC Working Group on Higher Education Costing and Pricing is advancing sector-wide costing frameworks, creating near-term demand for financial modelling and strategic pricing advisory among universities facing funding pressure. ASQA's move to cancel childcare qualifications issued by a deregistered RTO, alongside the NCVET-ASQA quality-assurance MOU, points to accelerating cross-jurisdictional compliance burden for VET providers and a pull-through for risk and assurance engagements. DEWR's AI and employment report adds a workforce-transformation overlay, with education and training providers likely to require capability uplift and change advisory as AI reshapes qualification relevance and delivery models.</w:t>
      </w:r>
    </w:p>
    <w:p>
      <w:pPr>
        <w:pStyle w:val="subheading_letter"/>
      </w:pPr>
      <w:r>
        <w:rPr>
          <w:rFonts w:ascii="Arial" w:hAnsi="Arial"/>
          <w:b/>
          <w:color w:val="76D2FF"/>
          <w:sz w:val="21"/>
        </w:rPr>
        <w:t>Jurisdiction signals</w:t>
      </w:r>
    </w:p>
    <w:p>
      <w:pPr>
        <w:pStyle w:val="body_letter"/>
      </w:pPr>
      <w:r>
        <w:rPr>
          <w:rFonts w:ascii="Arial" w:hAnsi="Arial"/>
          <w:b/>
          <w:color w:val="000000"/>
          <w:sz w:val="19"/>
        </w:rPr>
        <w:t>Commonwealth</w:t>
      </w:r>
    </w:p>
    <w:p>
      <w:pPr>
        <w:pStyle w:val="body_letter"/>
      </w:pPr>
      <w:r>
        <w:rPr>
          <w:rFonts w:ascii="Arial" w:hAnsi="Arial"/>
          <w:b w:val="0"/>
          <w:color w:val="000000"/>
          <w:sz w:val="19"/>
        </w:rPr>
        <w:t>ASIC delivered a record $830 million in penalties across its strongest enforcement year to date, underscoring a materially elevated federal enforcement posture in financial services and corporate conduct that raises compliance risk for regulated entities. The Albanese Government announced mandatory Australian AI Standards, a comprehensive framework governing automated decision-making by Commonwealth agencies and industry, creating immediate and prospective compliance obligations for entities operating under federal regulation, with legal analysis from Maddocks and White &amp; Case flagging a significant course change from prior voluntary guidance. The Department of Home Affairs has opened consultation on proposed amendments to streamline and modernise the Security of Critical Infrastructure Act 2018, presenting a near-term advisory window for regulated critical infrastructure operators. Financial regulators have also received a formal growth mandate welcomed by the banking sector, signalling a strategic reorientation of supervisory priorities that KPMG clients should monitor for downstream compliance implications.</w:t>
      </w:r>
    </w:p>
    <w:p>
      <w:pPr>
        <w:pStyle w:val="body_letter"/>
      </w:pPr>
      <w:r>
        <w:rPr>
          <w:rFonts w:ascii="Arial" w:hAnsi="Arial"/>
          <w:b/>
          <w:color w:val="000000"/>
          <w:sz w:val="19"/>
        </w:rPr>
        <w:t>New South Wales</w:t>
      </w:r>
    </w:p>
    <w:p>
      <w:pPr>
        <w:pStyle w:val="body_letter"/>
      </w:pPr>
      <w:r>
        <w:rPr>
          <w:rFonts w:ascii="Arial" w:hAnsi="Arial"/>
          <w:b w:val="0"/>
          <w:color w:val="000000"/>
          <w:sz w:val="19"/>
        </w:rPr>
        <w:t>SafeWork NSW is intensifying enforcement focus across high-risk industries, with quarrying and other sectors flagged for heightened compliance scrutiny, creating advisory demand around WHS frameworks. NSW is progressing amendments to building regulations, imposing updated compliance obligations on developers, builders and certifiers that will require close monitoring. The NSW EPA's FOGO business mandate guidance to councils signals imminent waste-sector compliance requirements, while the IPART chair appointment of Anthony Wing introduces potential strategic recalibration of utility pricing and regulatory oversight priorities. The ODPP inquiry findings and ICAC activity in the Hills Liberal matter underscore ongoing integrity and governance risks for public-sector clients.</w:t>
      </w:r>
    </w:p>
    <w:p>
      <w:pPr>
        <w:pStyle w:val="body_letter"/>
      </w:pPr>
      <w:r>
        <w:rPr>
          <w:rFonts w:ascii="Arial" w:hAnsi="Arial"/>
          <w:b/>
          <w:color w:val="000000"/>
          <w:sz w:val="19"/>
        </w:rPr>
        <w:t>Victoria</w:t>
      </w:r>
    </w:p>
    <w:p>
      <w:pPr>
        <w:pStyle w:val="body_letter"/>
      </w:pPr>
      <w:r>
        <w:rPr>
          <w:rFonts w:ascii="Arial" w:hAnsi="Arial"/>
          <w:b w:val="0"/>
          <w:color w:val="000000"/>
          <w:sz w:val="19"/>
        </w:rPr>
        <w:t>Victoria is experiencing a dense legislative and enforcement cycle across multiple sectors simultaneously. The Work from Home Bill has been introduced into Parliament, creating significant new employer compliance obligations and, per Lawyers Weekly, material operational impacts on VCAT, while building reform amendments that commenced on 1 July continue to reshape construction sector licensing and standards requirements. The Essential Services Commission has launched a Port of Melbourne pricing inquiry, representing a material advisory opportunity in infrastructure regulation, and EPA Victoria has initiated satellite-based land-clearing surveillance capabilities signalling a step-change in environmental enforcement posture. An updated Ministerial Statement of Expectations, reinstated electoral donation caps, new social media vilification demasking powers, and a family day care provider suspension for compliance failures collectively signal active regulatory expansion across digital, electoral, environmental and social services sectors.</w:t>
      </w:r>
    </w:p>
    <w:p>
      <w:pPr>
        <w:pStyle w:val="body_letter"/>
      </w:pPr>
      <w:r>
        <w:rPr>
          <w:rFonts w:ascii="Arial" w:hAnsi="Arial"/>
          <w:b/>
          <w:color w:val="000000"/>
          <w:sz w:val="19"/>
        </w:rPr>
        <w:t>Queensland</w:t>
      </w:r>
    </w:p>
    <w:p>
      <w:pPr>
        <w:pStyle w:val="body_letter"/>
      </w:pPr>
      <w:r>
        <w:rPr>
          <w:rFonts w:ascii="Arial" w:hAnsi="Arial"/>
          <w:b w:val="0"/>
          <w:color w:val="000000"/>
          <w:sz w:val="19"/>
        </w:rPr>
        <w:t>Queensland's 2026-27 Budget ($119B capital program) introduces significant procurement, productivity, and housing compliance obligations, while the Financial Provisioning Scheme Review delivers material 2025 reforms to resource-sector financial assurance arrangements, both representing immediate advisory mandates. New AML/CTF obligations have commenced for Queensland law firms, with the QLS urging enrolment, creating a time-sensitive compliance uplift opportunity across the legal sector. The Queensland Productivity Commission's examination of EPBC Act reform signals potential streamlining of state-federal environmental approval pathways, and Supreme Court judges have been appointed to lead a Queensland human rights framework review, flagging downstream legislative change. Concurrent safeguarding reforms responding to the In Plain Sight review, ongoing CFMEU enforcement failures in construction, and a building regulator misconduct inquiry compound an already crowded regulatory reform agenda requiring client risk-triage across multiple sectors.</w:t>
      </w:r>
    </w:p>
    <w:p>
      <w:pPr>
        <w:pStyle w:val="body_letter"/>
      </w:pPr>
      <w:r>
        <w:rPr>
          <w:rFonts w:ascii="Arial" w:hAnsi="Arial"/>
          <w:b/>
          <w:color w:val="000000"/>
          <w:sz w:val="19"/>
        </w:rPr>
        <w:t>Western Australia</w:t>
      </w:r>
    </w:p>
    <w:p>
      <w:pPr>
        <w:pStyle w:val="body_letter"/>
      </w:pPr>
      <w:r>
        <w:rPr>
          <w:rFonts w:ascii="Arial" w:hAnsi="Arial"/>
          <w:b w:val="0"/>
          <w:color w:val="000000"/>
          <w:sz w:val="19"/>
        </w:rPr>
        <w:t>Western Australia has become the first Australian jurisdiction to deploy real-time facial recognition surveillance cameras, a landmark development with significant privacy law, civil liberties, and compliance framework implications for organisations operating in the state. Concurrently, a major planning reform will open thousands more Perth properties to subdivision, expanding development approval and land-use compliance obligations across the residential sector. On the enforcement front, WA regulators have conducted large-scale tobacco compliance operations, seizing over a tonne of product and closing nearly 50 stores, signalling a sustained crackdown on illicit retail trade. Separately, WA has reduced registered builder licensing requirements for ancillary structures (sheds, garages, carports) and backed federal online lottery reform to protect its state-owned lottery monopoly, both representing targeted deregulatory and intergovernmental positioning moves.</w:t>
      </w:r>
    </w:p>
    <w:p>
      <w:pPr>
        <w:pStyle w:val="body_letter"/>
      </w:pPr>
      <w:r>
        <w:rPr>
          <w:rFonts w:ascii="Arial" w:hAnsi="Arial"/>
          <w:b/>
          <w:color w:val="000000"/>
          <w:sz w:val="19"/>
        </w:rPr>
        <w:t>South Australia</w:t>
      </w:r>
    </w:p>
    <w:p>
      <w:pPr>
        <w:pStyle w:val="body_letter"/>
      </w:pPr>
      <w:r>
        <w:rPr>
          <w:rFonts w:ascii="Arial" w:hAnsi="Arial"/>
          <w:b w:val="0"/>
          <w:color w:val="000000"/>
          <w:sz w:val="19"/>
        </w:rPr>
        <w:t>The South Australian Commissioner for Gambling has finalised a AU$21 million enforcement settlement with SkyCity Adelaide, also mandating appointment of a dedicated Adelaide CEO, a significant precedent for gaming compliance obligations and board-governance expectations for SA-licensed operators. SA has legislated criminal offences for non-consensual deepfake content ahead of any federal equivalent, creating immediate compliance and legal-risk obligations for technology, media, and platform businesses operating in the state. Proposed reforms to SA's First Nations Voice to Parliament introduce potential new consultation and engagement obligations relevant to planning, development, and government procurement advisory work. SafeWork SA's active enforcement response to asbestos risks in commercial fitness facilities signals continued priority on WHS compliance in non-traditional settings, opening workplace-safety compliance review opportunities across the SA commercial property sector.</w:t>
      </w:r>
    </w:p>
    <w:p>
      <w:pPr>
        <w:pStyle w:val="body_letter"/>
      </w:pPr>
      <w:r>
        <w:rPr>
          <w:rFonts w:ascii="Arial" w:hAnsi="Arial"/>
          <w:b/>
          <w:color w:val="000000"/>
          <w:sz w:val="19"/>
        </w:rPr>
        <w:t>Tasmania</w:t>
      </w:r>
    </w:p>
    <w:p>
      <w:pPr>
        <w:pStyle w:val="body_letter"/>
      </w:pPr>
      <w:r>
        <w:rPr>
          <w:rFonts w:ascii="Arial" w:hAnsi="Arial"/>
          <w:b w:val="0"/>
          <w:color w:val="000000"/>
          <w:sz w:val="19"/>
        </w:rPr>
        <w:t>Tasmania's legislative agenda is particularly active on family violence, with the first tranche of protection reforms announced alongside a nation-first levy on offenders, both creating new compliance and reporting obligations for relevant sectors. Liquor licensing has been streamlined via legislative reform, reducing approval timelines and presenting advisory opportunities for hospitality clients navigating the updated framework. Enforcement activity is elevated across multiple regulators: Consumer/health agencies seized 5.5 million illegal cigarettes and ~30,000 vapes; WorkSafe Tasmania has opened an investigation into the Hobart Cracker Night fireworks incident; and the EPA lifted a processing ban on a recycling facility, signalling active regulatory oversight of waste management. Local government structural reform, cutting 50 councillors after passing the upper house, and the repeal of the one-metre powerline clearance rule for tradies round out a busy period of state-level regulatory change.</w:t>
      </w:r>
    </w:p>
    <w:p>
      <w:pPr>
        <w:pStyle w:val="body_letter"/>
      </w:pPr>
      <w:r>
        <w:rPr>
          <w:rFonts w:ascii="Arial" w:hAnsi="Arial"/>
          <w:b/>
          <w:color w:val="000000"/>
          <w:sz w:val="19"/>
        </w:rPr>
        <w:t>Australian Capital Territory</w:t>
      </w:r>
    </w:p>
    <w:p>
      <w:pPr>
        <w:pStyle w:val="body_letter"/>
      </w:pPr>
      <w:r>
        <w:rPr>
          <w:rFonts w:ascii="Arial" w:hAnsi="Arial"/>
          <w:b w:val="0"/>
          <w:color w:val="000000"/>
          <w:sz w:val="19"/>
        </w:rPr>
        <w:t>The ACT Legislative Assembly has passed landmark 'missing middle' housing reforms permitting medium-density development in established suburbs, creating immediate compliance and planning advisory demand for developers, councils, and legal practitioners navigating the new framework. The 2026-27 ACT Budget eliminates stamp duty for first-home buyers while projecting net debt of $12.5 billion, signalling continued property tax reform and heightened fiscal risk, both areas requiring advisory support on transaction structuring and government financial sustainability. A significant cross-jurisdictional procurement compliance gap has been exposed with a subcontractor banned in NSW reportedly winning ACT government contracts, pointing to material weaknesses in the ACT's contractor screening and debarment-recognition processes. Concurrently, the ACT Government's formal acceptance of the health system inquiry report and a major pokies review recommending a managed phase-down of gaming machines both present near-term advisory opportunities in regulated industry transition planning and compliance strategy.</w:t>
      </w:r>
    </w:p>
    <w:p>
      <w:pPr>
        <w:pStyle w:val="body_letter"/>
      </w:pPr>
      <w:r>
        <w:rPr>
          <w:rFonts w:ascii="Arial" w:hAnsi="Arial"/>
          <w:b/>
          <w:color w:val="000000"/>
          <w:sz w:val="19"/>
        </w:rPr>
        <w:t>Northern Territory</w:t>
      </w:r>
    </w:p>
    <w:p>
      <w:pPr>
        <w:pStyle w:val="body_letter"/>
      </w:pPr>
      <w:r>
        <w:rPr>
          <w:rFonts w:ascii="Arial" w:hAnsi="Arial"/>
          <w:b w:val="0"/>
          <w:color w:val="000000"/>
          <w:sz w:val="19"/>
        </w:rPr>
        <w:t>The NT Government is pressing ahead with the contested 'Every Child Matters Bill', drawing sharp criticism from SNAICC, the National Justice Project, and the outgoing Children's Commissioner, who publicly condemned the government's lack of accountability on departure; a concurrent systemic-failings report is being cited by government to justify the accelerated reform. WorkSafe NT is under scrutiny over dropped charges in a workplace fatality, while a separate WorkSafe prosecution of an NT Aboriginal corporation over a fatal ute rollover signals continued WHS enforcement exposure for community-controlled organisations. The NT EPA approved Santos' hot venting request, a material environmental regulatory decision with implications for energy sector compliance obligations in the Territory. Consumer protection regulators fined NT service stations $38,000 for fuel overcharging, and the NT Government extended alcohol bans in town camps, each signalling active use of existing regulatory tools alongside the legislative reform agenda.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18"/>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teqsa.gov.au/guides-resources/resources/sector-updates-and-alerts/joint-asqa-and-teqsa-sector-alert-compliance-concerns-about-overseas-student-transfers" TargetMode="External"/><Relationship Id="rId11" Type="http://schemas.openxmlformats.org/officeDocument/2006/relationships/hyperlink" Target="https://thepienews.com/australian-regulators-raise-compliance-concerns-over-agent-commission-ban/" TargetMode="External"/><Relationship Id="rId12" Type="http://schemas.openxmlformats.org/officeDocument/2006/relationships/hyperlink" Target="https://www.esafety.gov.au/newsroom/media-releases/esafety-report-reveals-big-tech-blind-spots-in-protecting-children-and-young-adults-from-sexual-extortion" TargetMode="External"/><Relationship Id="rId13" Type="http://schemas.openxmlformats.org/officeDocument/2006/relationships/hyperlink" Target="https://www.nine.com.au/australia-news/60-minutes/tga-and-manufacturers-respond-to-60-minutes-investigation-into-medical-devices-20260719-p60gm2.html" TargetMode="External"/><Relationship Id="rId14" Type="http://schemas.openxmlformats.org/officeDocument/2006/relationships/hyperlink" Target="https://www.dewr.gov.au/workplace-relations/announcements/ai-and-employment-australia-report" TargetMode="External"/><Relationship Id="rId15" Type="http://schemas.openxmlformats.org/officeDocument/2006/relationships/hyperlink" Target="https://www.acnc.gov.au/media/news/acnc-charity-data-now-available-through-blade-for-approved-researchers" TargetMode="External"/><Relationship Id="rId16" Type="http://schemas.openxmlformats.org/officeDocument/2006/relationships/hyperlink" Target="https://www.teqsa.gov.au/about-us/news-and-events/latest-news/amendments-threshold-standards" TargetMode="External"/><Relationship Id="rId17" Type="http://schemas.openxmlformats.org/officeDocument/2006/relationships/hyperlink" Target="https://newshub.medianet.com.au/2026/07/small-disability-carers-face-jail-time-under-new-ndis-rules-and-most-dont-know-it-yet/160778/" TargetMode="External"/><Relationship Id="rId1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