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4615200" cy="2483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200" cy="248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KPMG Regulatory Transformation Fortnightly Brief - 15-28 July 2026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Regulatory Transformation Community of Practice - Fortnightly Brief</w:t>
      </w:r>
    </w:p>
    <w:p>
      <w:pPr>
        <w:pStyle w:val="body_letter"/>
      </w:pPr>
      <w:r>
        <w:rPr>
          <w:rFonts w:ascii="Arial" w:hAnsi="Arial"/>
          <w:color w:val="666666"/>
          <w:sz w:val="19"/>
        </w:rPr>
        <w:t>28 July 2026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Key messages from Adam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[edit before send], Adam's 3-sentence key messages will prefill from the dashboard synthesis on the next fortnightly run. Type your replacement here.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Regulators in the news (this fortnight)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regulator-in-news signal this fortnight, see Themes below.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Our clients in the news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client-in-news signal this fortnight across any jurisdiction.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Regulatory Transformation: navigating emerging risks, driving AI adoption and reducing regulatory burden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Regulators are facing a shifting operating environment as technology, markets, environmental pressures and societal expectations evolve faster than traditional regulatory frameworks. Fragmented data and limited intelligence continue to make risk prioritisation difficult.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There is a growing opportunity to use advanced analytics to better target regulatory effort. Many regulators are still working to integrate data across systems, uplift analytical capability and embed insights into everyday decision-making.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AI adoption is also becoming a core regulatory transformation issue. Regulators are seeking to balance opportunities for automation and improved risk identification with the need to manage governance, transparency, bias, legal risk, privacy and public confidence.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At the same time, governments are under pressure to reduce red tape, make faster decisions and manage fiscal constraints. This is driving interest in regulatory consolidation, shared-service models and more consistent approaches to regulatory delivery, while maintaining fairness and strong outcomes.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Emerging risks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emerging risks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AI adoption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ai adoption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Regulatory burden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regulatory burden signal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Training, conferences, webinars &amp; in-person sessions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IPAA National Regulatory Governance Forum 2026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13 Aug 2026 - IPAA · Canberra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AHRI Public Sector L&amp;D Symposium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20 Aug 2026 - AHRI · Sydney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Cross-sector synthesis (hub-wide)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Business development priorities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Brief the relevant sector partner this fortnight on the highest-signal regulator development above.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Convene the capability bench for the next reg-tech / capability-review pursuit in pipeline.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Pursue at least one tracked client on a near-term advisory hook before the next CoP cadence.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Sector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sector-level synthesis available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Jurisdiction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jurisdiction-level synthesis available this fortnight.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937"/>
      </w:tblGrid>
      <w:tr>
        <w:tc>
          <w:tcPr>
            <w:tcW w:type="dxa" w:w="1417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9200" cy="7604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ad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00" cy="7604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Adam Mason-Jefferies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i/>
                <w:color w:val="666666"/>
                <w:sz w:val="18"/>
              </w:rPr>
              <w:t>Director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color w:val="666666"/>
                <w:sz w:val="18"/>
              </w:rPr>
              <w:t>Regulatory Transformation Community of Practice</w:t>
            </w:r>
          </w:p>
        </w:tc>
      </w:tr>
    </w:tbl>
    <w:p>
      <w:pPr>
        <w:spacing w:after="0" w:line="240" w:lineRule="auto"/>
      </w:pPr>
      <w:r>
        <w:rPr>
          <w:rFonts w:ascii="Arial" w:hAnsi="Arial"/>
          <w:b/>
          <w:color w:val="666666"/>
          <w:sz w:val="16"/>
        </w:rPr>
        <w:t>For internal use only.</w:t>
      </w:r>
    </w:p>
    <w:p>
      <w:pPr>
        <w:spacing w:after="0" w:line="240" w:lineRule="auto"/>
      </w:pPr>
      <w:r>
        <w:rPr>
          <w:rFonts w:ascii="Arial" w:hAnsi="Arial"/>
          <w:color w:val="666666"/>
          <w:sz w:val="16"/>
        </w:rPr>
        <w:t>© 2026 KPMG, an Australian partnership and a member firm of the KPMG global organisation of independent member firms affiliated with KPMG International Limited, a private English company limited by guarantee. All rights reserved.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338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338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33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338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_letter">
    <w:name w:val="body_letter"/>
    <w:basedOn w:val="Normal"/>
    <w:pPr>
      <w:spacing w:line="240" w:lineRule="auto" w:before="0" w:after="120"/>
      <w:ind w:firstLine="0"/>
    </w:pPr>
    <w:rPr>
      <w:rFonts w:ascii="Arial" w:hAnsi="Arial"/>
      <w:b w:val="0"/>
      <w:i w:val="0"/>
      <w:color w:val="000000"/>
      <w:sz w:val="19"/>
    </w:rPr>
  </w:style>
  <w:style w:type="paragraph" w:customStyle="1" w:styleId="subheading_letter">
    <w:name w:val="subheading_letter"/>
    <w:basedOn w:val="Normal"/>
    <w:pPr>
      <w:spacing w:before="160" w:after="80" w:line="240" w:lineRule="auto"/>
    </w:pPr>
    <w:rPr>
      <w:rFonts w:ascii="Arial" w:hAnsi="Arial"/>
      <w:b/>
      <w:i w:val="0"/>
      <w:color w:val="76D2FF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