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15200" cy="2483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200" cy="248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KPMG Regulatory Transformation Fortnightly Brief - 3-16 October 2026</w:t>
      </w:r>
    </w:p>
    <w:p>
      <w:pPr>
        <w:pStyle w:val="body_letter"/>
      </w:pPr>
      <w:r>
        <w:rPr>
          <w:rFonts w:ascii="Arial" w:hAnsi="Arial"/>
          <w:i/>
          <w:color w:val="666666"/>
          <w:sz w:val="19"/>
        </w:rPr>
        <w:t>Regulatory Transformation Community of Practice - Fortnightly Brief</w:t>
      </w:r>
    </w:p>
    <w:p>
      <w:pPr>
        <w:pStyle w:val="body_letter"/>
      </w:pPr>
      <w:r>
        <w:rPr>
          <w:rFonts w:ascii="Arial" w:hAnsi="Arial"/>
          <w:color w:val="666666"/>
          <w:sz w:val="19"/>
        </w:rPr>
        <w:t>16 October 2026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Key messages from Adam</w:t>
      </w:r>
    </w:p>
    <w:p>
      <w:pPr>
        <w:pStyle w:val="body_letter"/>
      </w:pPr>
      <w:r>
        <w:rPr>
          <w:rFonts w:ascii="Arial" w:hAnsi="Arial"/>
          <w:i/>
          <w:color w:val="666666"/>
          <w:sz w:val="19"/>
        </w:rPr>
        <w:t>[edit before send], Adam's 3-sentence key messages will prefill from the dashboard synthesis on the next fortnightly run. Type your replacement here.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Regulators in the news (this fortnight)</w:t>
      </w:r>
    </w:p>
    <w:p>
      <w:pPr>
        <w:pStyle w:val="body_letter"/>
      </w:pPr>
      <w:r>
        <w:rPr>
          <w:rFonts w:ascii="Arial" w:hAnsi="Arial"/>
          <w:i/>
          <w:color w:val="666666"/>
          <w:sz w:val="19"/>
        </w:rPr>
        <w:t>No regulator-in-news signal this fortnight, see Themes below.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Our clients in the news</w:t>
      </w:r>
    </w:p>
    <w:p>
      <w:pPr>
        <w:pStyle w:val="body_letter"/>
      </w:pPr>
      <w:r>
        <w:rPr>
          <w:rFonts w:ascii="Arial" w:hAnsi="Arial"/>
          <w:i/>
          <w:color w:val="666666"/>
          <w:sz w:val="19"/>
        </w:rPr>
        <w:t>No client-in-news signal this fortnight across any jurisdiction.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Regulatory Transformation: navigating emerging risks, driving AI adoption and reducing regulatory burden</w:t>
      </w:r>
    </w:p>
    <w:p>
      <w:pPr>
        <w:pStyle w:val="body_letter"/>
      </w:pPr>
      <w:r>
        <w:rPr>
          <w:rFonts w:ascii="Arial" w:hAnsi="Arial"/>
          <w:b w:val="0"/>
          <w:color w:val="000000"/>
          <w:sz w:val="19"/>
        </w:rPr>
        <w:t>Regulators are facing a shifting operating environment as technology, markets, environmental pressures and societal expectations evolve faster than traditional regulatory frameworks. Fragmented data and limited intelligence continue to make risk prioritisation difficult.</w:t>
      </w:r>
    </w:p>
    <w:p>
      <w:pPr>
        <w:pStyle w:val="body_letter"/>
      </w:pPr>
      <w:r>
        <w:rPr>
          <w:rFonts w:ascii="Arial" w:hAnsi="Arial"/>
          <w:b w:val="0"/>
          <w:color w:val="000000"/>
          <w:sz w:val="19"/>
        </w:rPr>
        <w:t>There is a growing opportunity to use advanced analytics to better target regulatory effort. Many regulators are still working to integrate data across systems, uplift analytical capability and embed insights into everyday decision-making.</w:t>
      </w:r>
    </w:p>
    <w:p>
      <w:pPr>
        <w:pStyle w:val="body_letter"/>
      </w:pPr>
      <w:r>
        <w:rPr>
          <w:rFonts w:ascii="Arial" w:hAnsi="Arial"/>
          <w:b w:val="0"/>
          <w:color w:val="000000"/>
          <w:sz w:val="19"/>
        </w:rPr>
        <w:t>AI adoption is also becoming a core regulatory transformation issue. Regulators are seeking to balance opportunities for automation and improved risk identification with the need to manage governance, transparency, bias, legal risk, privacy and public confidence.</w:t>
      </w:r>
    </w:p>
    <w:p>
      <w:pPr>
        <w:pStyle w:val="body_letter"/>
      </w:pPr>
      <w:r>
        <w:rPr>
          <w:rFonts w:ascii="Arial" w:hAnsi="Arial"/>
          <w:b w:val="0"/>
          <w:color w:val="000000"/>
          <w:sz w:val="19"/>
        </w:rPr>
        <w:t>At the same time, governments are under pressure to reduce red tape, make faster decisions and manage fiscal constraints. This is driving interest in regulatory consolidation, shared-service models and more consistent approaches to regulatory delivery, while maintaining fairness and strong outcomes.</w:t>
      </w:r>
    </w:p>
    <w:p>
      <w:pPr>
        <w:pStyle w:val="body_letter"/>
      </w:pPr>
      <w:r>
        <w:rPr>
          <w:rFonts w:ascii="Arial" w:hAnsi="Arial"/>
          <w:b/>
          <w:color w:val="000000"/>
          <w:sz w:val="19"/>
        </w:rPr>
        <w:t>Emerging risks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APRA flags private credit risks for super trustees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APRA has issued a heightened-risk warning on private credit, signalling proposed reforms and strict new investment limits for superannuation trustees exposed to illiquid assets.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APRA reforms to hit platforms hardest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APRA has indicated that its proposed prudential reforms will fall most heavily on investment platforms, requiring trustees and platform operators to reassess risk and capital…</w:t>
      </w:r>
      <w:r>
        <w:rPr>
          <w:rFonts w:ascii="Arial" w:hAnsi="Arial"/>
          <w:color w:val="000000"/>
          <w:sz w:val="19"/>
        </w:rPr>
        <w:t xml:space="preserve"> (</w:t>
      </w:r>
      <w:hyperlink r:id="rId10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ATSB highlights crew fatigue risk on domestic ferries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The ATSB has published a safety concern report identifying crew fatigue as a systemic risk in domestic commercial passenger and vehicle ferry operations, calling for stronger…</w:t>
      </w:r>
      <w:r>
        <w:rPr>
          <w:rFonts w:ascii="Arial" w:hAnsi="Arial"/>
          <w:color w:val="000000"/>
          <w:sz w:val="19"/>
        </w:rPr>
        <w:t xml:space="preserve"> (</w:t>
      </w:r>
      <w:hyperlink r:id="rId11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Port Botany train collision report flags risk management gaps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The ATSB's investigation into the Port Botany freight train collision found deficiencies in risk management procedures, underscoring the need for operators to strengthen safety…</w:t>
      </w:r>
      <w:r>
        <w:rPr>
          <w:rFonts w:ascii="Arial" w:hAnsi="Arial"/>
          <w:color w:val="000000"/>
          <w:sz w:val="19"/>
        </w:rPr>
        <w:t xml:space="preserve"> (</w:t>
      </w:r>
      <w:hyperlink r:id="rId12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body_letter"/>
      </w:pPr>
      <w:r>
        <w:rPr>
          <w:rFonts w:ascii="Arial" w:hAnsi="Arial"/>
          <w:b/>
          <w:color w:val="000000"/>
          <w:sz w:val="19"/>
        </w:rPr>
        <w:t>AI adoption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ABA submission to AI Joint Select Committee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The Australian Banking Association has submitted to the Joint Select Committee on Artificial Intelligence, calling for a risk-proportionate regulatory framework that enables banks…</w:t>
      </w:r>
      <w:r>
        <w:rPr>
          <w:rFonts w:ascii="Arial" w:hAnsi="Arial"/>
          <w:color w:val="000000"/>
          <w:sz w:val="19"/>
        </w:rPr>
        <w:t xml:space="preserve"> (</w:t>
      </w:r>
      <w:hyperlink r:id="rId13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ASQA publishes AI principles for training providers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ASQA has released AI principles for registered training organisations, setting out governance and integrity expectations for AI use in early childhood educator training and…</w:t>
      </w:r>
      <w:r>
        <w:rPr>
          <w:rFonts w:ascii="Arial" w:hAnsi="Arial"/>
          <w:color w:val="000000"/>
          <w:sz w:val="19"/>
        </w:rPr>
        <w:t xml:space="preserve"> (</w:t>
      </w:r>
      <w:hyperlink r:id="rId14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CASA consults on drone operations above 400 ft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CASA has used stakeholder feedback to shape a new regulatory framework for drone operations above 400 feet, balancing innovation enablement with airspace safety and risk…</w:t>
      </w:r>
      <w:r>
        <w:rPr>
          <w:rFonts w:ascii="Arial" w:hAnsi="Arial"/>
          <w:color w:val="000000"/>
          <w:sz w:val="19"/>
        </w:rPr>
        <w:t xml:space="preserve"> (</w:t>
      </w:r>
      <w:hyperlink r:id="rId15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body_letter"/>
      </w:pPr>
      <w:r>
        <w:rPr>
          <w:rFonts w:ascii="Arial" w:hAnsi="Arial"/>
          <w:b/>
          <w:color w:val="000000"/>
          <w:sz w:val="19"/>
        </w:rPr>
        <w:t>Regulatory burden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ASIC releases 2026-27 supervisory priorities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ASIC has published its 2026-27 supervisory priorities to give industry greater certainty and support a better regulation agenda, focusing enforcement resources on consumer harm…</w:t>
      </w:r>
      <w:r>
        <w:rPr>
          <w:rFonts w:ascii="Arial" w:hAnsi="Arial"/>
          <w:color w:val="000000"/>
          <w:sz w:val="19"/>
        </w:rPr>
        <w:t xml:space="preserve"> (</w:t>
      </w:r>
      <w:hyperlink r:id="rId16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Financial Advice Reform Bill advances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The FSC has welcomed the Financial Advice Reform Bill as a meaningful step toward reducing compliance costs and broadening access to affordable financial advice for Australian…</w:t>
      </w:r>
      <w:r>
        <w:rPr>
          <w:rFonts w:ascii="Arial" w:hAnsi="Arial"/>
          <w:color w:val="000000"/>
          <w:sz w:val="19"/>
        </w:rPr>
        <w:t xml:space="preserve"> (</w:t>
      </w:r>
      <w:hyperlink r:id="rId17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Surcharge ban reshapes bank rewards programs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The federal surcharge ban has prompted major banks to cut rewards programs and complimentary travel insurance as reduced interchange fee revenue flows through to product design.</w:t>
      </w:r>
      <w:r>
        <w:rPr>
          <w:rFonts w:ascii="Arial" w:hAnsi="Arial"/>
          <w:color w:val="000000"/>
          <w:sz w:val="19"/>
        </w:rPr>
        <w:t xml:space="preserve"> (</w:t>
      </w:r>
      <w:hyperlink r:id="rId18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New payment models face broader licensing regime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(as at 2026-10-05) Proposed reforms will extend licensing obligations to a wider range of payment service providers in Australia, increasing compliance obligations for fintechs and non-bank payment…</w:t>
      </w:r>
      <w:r>
        <w:rPr>
          <w:rFonts w:ascii="Arial" w:hAnsi="Arial"/>
          <w:color w:val="000000"/>
          <w:sz w:val="19"/>
        </w:rPr>
        <w:t xml:space="preserve"> (</w:t>
      </w:r>
      <w:hyperlink r:id="rId19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Read more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Training, conferences, webinars &amp; in-person sessions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FSC Retirement Summit 2026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22 Oct 2026 - APRA · Online</w:t>
      </w:r>
      <w:r>
        <w:rPr>
          <w:rFonts w:ascii="Arial" w:hAnsi="Arial"/>
          <w:color w:val="000000"/>
          <w:sz w:val="19"/>
        </w:rPr>
        <w:t xml:space="preserve"> (</w:t>
      </w:r>
      <w:hyperlink r:id="rId20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Register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Citi A50 Australian Economic Forum 2026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23 Oct 2026 - APRA · Online</w:t>
      </w:r>
      <w:r>
        <w:rPr>
          <w:rFonts w:ascii="Arial" w:hAnsi="Arial"/>
          <w:color w:val="000000"/>
          <w:sz w:val="19"/>
        </w:rPr>
        <w:t xml:space="preserve"> (</w:t>
      </w:r>
      <w:hyperlink r:id="rId21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Register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AFR Super &amp;amp; Wealth Summit 2026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26 Oct 2026 - APRA · Online</w:t>
      </w:r>
      <w:r>
        <w:rPr>
          <w:rFonts w:ascii="Arial" w:hAnsi="Arial"/>
          <w:color w:val="000000"/>
          <w:sz w:val="19"/>
        </w:rPr>
        <w:t xml:space="preserve"> (</w:t>
      </w:r>
      <w:hyperlink r:id="rId22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Register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Financial Services and ASX Sector Assurance Forum 2026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27 Oct 2026 - APRA · Online</w:t>
      </w:r>
      <w:r>
        <w:rPr>
          <w:rFonts w:ascii="Arial" w:hAnsi="Arial"/>
          <w:color w:val="000000"/>
          <w:sz w:val="19"/>
        </w:rPr>
        <w:t xml:space="preserve"> (</w:t>
      </w:r>
      <w:hyperlink r:id="rId23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Register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AFSA Summit 2026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05 Nov 2026 - APRA · Online</w:t>
      </w:r>
      <w:r>
        <w:rPr>
          <w:rFonts w:ascii="Arial" w:hAnsi="Arial"/>
          <w:color w:val="000000"/>
          <w:sz w:val="19"/>
        </w:rPr>
        <w:t xml:space="preserve"> (</w:t>
      </w:r>
      <w:hyperlink r:id="rId24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Register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ListBullet"/>
      </w:pPr>
      <w:r>
        <w:rPr>
          <w:rFonts w:ascii="Arial" w:hAnsi="Arial"/>
          <w:b/>
          <w:color w:val="000000"/>
          <w:sz w:val="19"/>
        </w:rPr>
        <w:t>Insurance Council of Australia Annual Conference 2026</w:t>
      </w:r>
      <w:r>
        <w:rPr>
          <w:rFonts w:ascii="Arial" w:hAnsi="Arial"/>
          <w:color w:val="000000"/>
          <w:sz w:val="19"/>
        </w:rPr>
        <w:t xml:space="preserve"> - </w:t>
      </w:r>
      <w:r>
        <w:rPr>
          <w:rFonts w:ascii="Arial" w:hAnsi="Arial"/>
          <w:color w:val="000000"/>
          <w:sz w:val="19"/>
        </w:rPr>
        <w:t>06 Nov 2026 - APRA · Online</w:t>
      </w:r>
      <w:r>
        <w:rPr>
          <w:rFonts w:ascii="Arial" w:hAnsi="Arial"/>
          <w:color w:val="000000"/>
          <w:sz w:val="19"/>
        </w:rPr>
        <w:t xml:space="preserve"> (</w:t>
      </w:r>
      <w:hyperlink r:id="rId25">
        <w:r>
          <w:rPr>
            <w:rFonts w:ascii="Arial" w:hAnsi="Arial" w:cs="Arial"/>
            <w:color w:val="0000FF"/>
            <w:sz w:val="19"/>
            <w:szCs w:val="19"/>
            <w:u w:val="single"/>
          </w:rPr>
          <w:t xml:space="preserve">Register</w:t>
        </w:r>
      </w:hyperlink>
      <w:r>
        <w:rPr>
          <w:rFonts w:ascii="Arial" w:hAnsi="Arial"/>
          <w:color w:val="000000"/>
          <w:sz w:val="19"/>
        </w:rPr>
        <w:t>)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Cross-sector synthesis (hub-wide)</w:t>
      </w:r>
    </w:p>
    <w:p>
      <w:pPr>
        <w:pStyle w:val="body_letter"/>
      </w:pPr>
      <w:r>
        <w:rPr>
          <w:rFonts w:ascii="Arial" w:hAnsi="Arial"/>
          <w:b/>
          <w:color w:val="000000"/>
          <w:sz w:val="19"/>
        </w:rPr>
        <w:t>Business development priorities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Brief the relevant sector partner this fortnight on the highest-signal regulator development above.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Convene the capability bench for the next reg-tech / capability-review pursuit in pipeline.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Pursue at least one tracked client on a near-term advisory hook before the next CoP cadence.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Sector signals</w:t>
      </w:r>
    </w:p>
    <w:p>
      <w:pPr>
        <w:pStyle w:val="body_letter"/>
      </w:pPr>
      <w:r>
        <w:rPr>
          <w:rFonts w:ascii="Arial" w:hAnsi="Arial"/>
          <w:i/>
          <w:color w:val="666666"/>
          <w:sz w:val="19"/>
        </w:rPr>
        <w:t>No sector-level synthesis available this fortnight.</w:t>
      </w:r>
    </w:p>
    <w:p>
      <w:pPr>
        <w:pStyle w:val="subheading_letter"/>
      </w:pPr>
      <w:r>
        <w:rPr>
          <w:rFonts w:ascii="Arial" w:hAnsi="Arial"/>
          <w:b/>
          <w:color w:val="76D2FF"/>
          <w:sz w:val="21"/>
        </w:rPr>
        <w:t>Jurisdiction signals</w:t>
      </w:r>
    </w:p>
    <w:p>
      <w:pPr>
        <w:pStyle w:val="body_letter"/>
      </w:pPr>
      <w:r>
        <w:rPr>
          <w:rFonts w:ascii="Arial" w:hAnsi="Arial"/>
          <w:i/>
          <w:color w:val="666666"/>
          <w:sz w:val="19"/>
        </w:rPr>
        <w:t>No jurisdiction-level synthesis available this fortnight.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937"/>
      </w:tblGrid>
      <w:tr>
        <w:tc>
          <w:tcPr>
            <w:tcW w:type="dxa" w:w="1417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19200" cy="7604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-ada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" cy="760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Adam Mason-Jefferies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i/>
                <w:color w:val="666666"/>
                <w:sz w:val="18"/>
              </w:rPr>
              <w:t>Director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666666"/>
                <w:sz w:val="18"/>
              </w:rPr>
              <w:t>Regulatory Transformation Community of Practice</w:t>
            </w:r>
          </w:p>
        </w:tc>
      </w:tr>
    </w:tbl>
    <w:p>
      <w:pPr>
        <w:spacing w:after="0" w:line="240" w:lineRule="auto"/>
      </w:pPr>
      <w:r>
        <w:rPr>
          <w:rFonts w:ascii="Arial" w:hAnsi="Arial"/>
          <w:b/>
          <w:color w:val="666666"/>
          <w:sz w:val="16"/>
        </w:rPr>
        <w:t>For internal use only.</w:t>
      </w:r>
    </w:p>
    <w:p>
      <w:pPr>
        <w:spacing w:after="0" w:line="240" w:lineRule="auto"/>
      </w:pPr>
      <w:r>
        <w:rPr>
          <w:rFonts w:ascii="Arial" w:hAnsi="Arial"/>
          <w:color w:val="666666"/>
          <w:sz w:val="16"/>
        </w:rPr>
        <w:t>© 2026 KPMG, an Australian partnership and a member firm of the KPMG global organisation of independent member firms affiliated with KPMG International Limited, a private English company limited by guarantee. All rights reserved.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38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38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3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338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_letter">
    <w:name w:val="body_letter"/>
    <w:basedOn w:val="Normal"/>
    <w:pPr>
      <w:spacing w:line="240" w:lineRule="auto" w:before="0" w:after="120"/>
      <w:ind w:firstLine="0"/>
    </w:pPr>
    <w:rPr>
      <w:rFonts w:ascii="Arial" w:hAnsi="Arial"/>
      <w:b w:val="0"/>
      <w:i w:val="0"/>
      <w:color w:val="000000"/>
      <w:sz w:val="19"/>
    </w:rPr>
  </w:style>
  <w:style w:type="paragraph" w:customStyle="1" w:styleId="subheading_letter">
    <w:name w:val="subheading_letter"/>
    <w:basedOn w:val="Normal"/>
    <w:pPr>
      <w:spacing w:before="160" w:after="80" w:line="240" w:lineRule="auto"/>
    </w:pPr>
    <w:rPr>
      <w:rFonts w:ascii="Arial" w:hAnsi="Arial"/>
      <w:b/>
      <w:i w:val="0"/>
      <w:color w:val="76D2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professionalplanner.com.au/2026/09/apra-expects-proposed-reforms-to-hit-platforms-hardest/" TargetMode="External"/><Relationship Id="rId11" Type="http://schemas.openxmlformats.org/officeDocument/2006/relationships/hyperlink" Target="https://www.atsb.gov.au/repcon-reports/rm2026-00020" TargetMode="External"/><Relationship Id="rId12" Type="http://schemas.openxmlformats.org/officeDocument/2006/relationships/hyperlink" Target="https://www.atsb.gov.au/news/2026/port-botany-freight-trains-collision-report" TargetMode="External"/><Relationship Id="rId13" Type="http://schemas.openxmlformats.org/officeDocument/2006/relationships/hyperlink" Target="https://www.ausbanking.org.au/submission/inquiry-into-artificial-intelligence-joint-select-committee-on-artificial-intelligence/" TargetMode="External"/><Relationship Id="rId14" Type="http://schemas.openxmlformats.org/officeDocument/2006/relationships/hyperlink" Target="https://thesector.com.au/article/asqa-ai-principles-early-childhood-educator-training" TargetMode="External"/><Relationship Id="rId15" Type="http://schemas.openxmlformats.org/officeDocument/2006/relationships/hyperlink" Target="https://www.casa.gov.au/about-us/news-media-releases-and-speeches/feedback-helps-shape-future-drone-operations-above-400-ft" TargetMode="External"/><Relationship Id="rId16" Type="http://schemas.openxmlformats.org/officeDocument/2006/relationships/hyperlink" Target="https://www.asic.gov.au/about-asic/news-centre/find-a-media-release/2026-releases/26-232mr-asic-releases-2026-27-supervisory-priorities-to-support-better-regulation-and-give-industry-greater-certainty" TargetMode="External"/><Relationship Id="rId17" Type="http://schemas.openxmlformats.org/officeDocument/2006/relationships/hyperlink" Target="https://www.fsc.org.au/newsroom/article/financial-advice-reform-bill" TargetMode="External"/><Relationship Id="rId18" Type="http://schemas.openxmlformats.org/officeDocument/2006/relationships/hyperlink" Target="https://www.abc.net.au/news/2026-09-28/surcharge-ban-interchange-fees-impacts-businesses-and-customers/106660248" TargetMode="External"/><Relationship Id="rId19" Type="http://schemas.openxmlformats.org/officeDocument/2006/relationships/hyperlink" Target="https://www.mondaq.com/australia/financial-services/1848446/new-payment-models-face-a-broader-licensing-regime" TargetMode="External"/><Relationship Id="rId20" Type="http://schemas.openxmlformats.org/officeDocument/2006/relationships/hyperlink" Target="https://www.apra.gov.au/news-and-publications/events/fsc-retirement-summit-2026" TargetMode="External"/><Relationship Id="rId21" Type="http://schemas.openxmlformats.org/officeDocument/2006/relationships/hyperlink" Target="https://www.apra.gov.au/news-and-publications/events/citi-a50-australian-economic-forum-2026" TargetMode="External"/><Relationship Id="rId22" Type="http://schemas.openxmlformats.org/officeDocument/2006/relationships/hyperlink" Target="https://www.apra.gov.au/news-and-publications/events/afr-super-wealth-summit-2026" TargetMode="External"/><Relationship Id="rId23" Type="http://schemas.openxmlformats.org/officeDocument/2006/relationships/hyperlink" Target="https://www.apra.gov.au/news-and-publications/events/financial-services-and-asx-sector-assurance-forum-2026" TargetMode="External"/><Relationship Id="rId24" Type="http://schemas.openxmlformats.org/officeDocument/2006/relationships/hyperlink" Target="https://www.apra.gov.au/news-and-publications/events/afsa-summit-2026" TargetMode="External"/><Relationship Id="rId25" Type="http://schemas.openxmlformats.org/officeDocument/2006/relationships/hyperlink" Target="https://www.apra.gov.au/news-and-publications/events/insurance-council-australia-annual-conference-2026" TargetMode="External"/><Relationship Id="rId2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