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drawing>
          <wp:inline xmlns:a="http://schemas.openxmlformats.org/drawingml/2006/main" xmlns:pic="http://schemas.openxmlformats.org/drawingml/2006/picture">
            <wp:extent cx="4615200" cy="2120400"/>
            <wp:docPr id="1" name="Picture 1"/>
            <wp:cNvGraphicFramePr>
              <a:graphicFrameLocks noChangeAspect="1"/>
            </wp:cNvGraphicFramePr>
            <a:graphic>
              <a:graphicData uri="http://schemas.openxmlformats.org/drawingml/2006/picture">
                <pic:pic>
                  <pic:nvPicPr>
                    <pic:cNvPr id="0" name="hero-banner.png"/>
                    <pic:cNvPicPr/>
                  </pic:nvPicPr>
                  <pic:blipFill>
                    <a:blip r:embed="rId9"/>
                    <a:stretch>
                      <a:fillRect/>
                    </a:stretch>
                  </pic:blipFill>
                  <pic:spPr>
                    <a:xfrm>
                      <a:off x="0" y="0"/>
                      <a:ext cx="4615200" cy="2120400"/>
                    </a:xfrm>
                    <a:prstGeom prst="rect"/>
                  </pic:spPr>
                </pic:pic>
              </a:graphicData>
            </a:graphic>
          </wp:inline>
        </w:drawing>
      </w:r>
    </w:p>
    <w:p>
      <w:pPr>
        <w:pStyle w:val="Heading1"/>
      </w:pPr>
      <w:r>
        <w:t>KPMG Regulatory Transformation Fortnightly Brief — 1–14 May 2026</w:t>
      </w:r>
    </w:p>
    <w:p>
      <w:pPr>
        <w:pStyle w:val="body_letter"/>
      </w:pPr>
      <w:r>
        <w:rPr>
          <w:rFonts w:ascii="Arial" w:hAnsi="Arial"/>
          <w:i/>
          <w:color w:val="666666"/>
          <w:sz w:val="19"/>
        </w:rPr>
        <w:t>Regulatory Transformation Community of Practice — Fortnightly Brief</w:t>
      </w:r>
    </w:p>
    <w:p>
      <w:pPr>
        <w:pStyle w:val="body_letter"/>
      </w:pPr>
      <w:r>
        <w:rPr>
          <w:rFonts w:ascii="Arial" w:hAnsi="Arial"/>
          <w:color w:val="666666"/>
          <w:sz w:val="19"/>
        </w:rPr>
        <w:t>14 May 2026</w:t>
      </w:r>
    </w:p>
    <w:p>
      <w:pPr>
        <w:pStyle w:val="subheading_letter"/>
      </w:pPr>
      <w:r>
        <w:rPr>
          <w:rFonts w:ascii="Arial" w:hAnsi="Arial"/>
          <w:b/>
          <w:color w:val="76D2FF"/>
          <w:sz w:val="21"/>
        </w:rPr>
        <w:t>Key messages from Adam</w:t>
      </w:r>
    </w:p>
    <w:p>
      <w:pPr>
        <w:pStyle w:val="body_letter"/>
      </w:pPr>
      <w:r>
        <w:rPr>
          <w:rFonts w:ascii="Arial" w:hAnsi="Arial"/>
          <w:b w:val="0"/>
          <w:color w:val="000000"/>
          <w:sz w:val="19"/>
        </w:rPr>
        <w:t>This fortnight regulators have leaned harder into enforcement capability and market oversight — antitrust funding has been topped up, energy regulators have stepped up scrutiny of gas market performance and network pricing proposals, and environmental and planning settings are being recalibrated through the Budget, landfill levy litigation and faster renewable approvals — while the AI adoption and burden-reduction agendas continue to mature in the background. The opportunity that matters most for our advisory practice is helping regulators translate this enforcement and pricing intensity into defensible, data-driven decision-making, because fragmented systems and limited analytical depth remain the binding constraint on credible regulatory action. Convene our energy, competition and environmental regulatory leads in the next fortnight to shape a joint point of view on evidence-led enforcement and pricing oversight, and brief priority regulator clients on how we can stand up the data, AI governance and operating-model uplift required to deliver it.</w:t>
      </w:r>
    </w:p>
    <w:p>
      <w:pPr>
        <w:pStyle w:val="subheading_letter"/>
      </w:pPr>
      <w:r>
        <w:rPr>
          <w:rFonts w:ascii="Arial" w:hAnsi="Arial"/>
          <w:b/>
          <w:color w:val="76D2FF"/>
          <w:sz w:val="21"/>
        </w:rPr>
        <w:t>Regulators in the news (this fortnight)</w:t>
      </w:r>
    </w:p>
    <w:p>
      <w:pPr>
        <w:pStyle w:val="ListBullet"/>
      </w:pPr>
      <w:r>
        <w:rPr>
          <w:rFonts w:ascii="Arial" w:hAnsi="Arial"/>
          <w:b/>
          <w:color w:val="000000"/>
          <w:sz w:val="19"/>
        </w:rPr>
        <w:t>Australian Prudential Regulation Authority</w:t>
      </w:r>
      <w:r>
        <w:rPr>
          <w:rFonts w:ascii="Arial" w:hAnsi="Arial"/>
          <w:color w:val="000000"/>
          <w:sz w:val="19"/>
        </w:rPr>
        <w:t xml:space="preserve"> — </w:t>
      </w:r>
      <w:r>
        <w:rPr>
          <w:rFonts w:ascii="Arial" w:hAnsi="Arial"/>
          <w:color w:val="000000"/>
          <w:sz w:val="19"/>
        </w:rPr>
        <w:t>APRA issued an industry letter setting prudential expectations for the management and governance of AI risks across regulated financial institutions.</w:t>
      </w:r>
      <w:r>
        <w:rPr>
          <w:rFonts w:ascii="Arial" w:hAnsi="Arial"/>
          <w:color w:val="000000"/>
          <w:sz w:val="19"/>
        </w:rPr>
        <w:t xml:space="preserve"> (</w:t>
      </w:r>
      <w:hyperlink r:id="rId10">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National Disability Insurance Agency</w:t>
      </w:r>
      <w:r>
        <w:rPr>
          <w:rFonts w:ascii="Arial" w:hAnsi="Arial"/>
          <w:color w:val="000000"/>
          <w:sz w:val="19"/>
        </w:rPr>
        <w:t xml:space="preserve"> — </w:t>
      </w:r>
      <w:r>
        <w:rPr>
          <w:rFonts w:ascii="Arial" w:hAnsi="Arial"/>
          <w:color w:val="000000"/>
          <w:sz w:val="19"/>
        </w:rPr>
        <w:t>The NDIA is advancing proposed access rules that would require participants to exhaust all appropriate treatment options before becoming eligible for scheme supports.</w:t>
      </w:r>
      <w:r>
        <w:rPr>
          <w:rFonts w:ascii="Arial" w:hAnsi="Arial"/>
          <w:color w:val="000000"/>
          <w:sz w:val="19"/>
        </w:rPr>
        <w:t xml:space="preserve"> (</w:t>
      </w:r>
      <w:hyperlink r:id="rId11">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Tertiary Education Quality and Standards Agency</w:t>
      </w:r>
      <w:r>
        <w:rPr>
          <w:rFonts w:ascii="Arial" w:hAnsi="Arial"/>
          <w:color w:val="000000"/>
          <w:sz w:val="19"/>
        </w:rPr>
        <w:t xml:space="preserve"> — </w:t>
      </w:r>
      <w:r>
        <w:rPr>
          <w:rFonts w:ascii="Arial" w:hAnsi="Arial"/>
          <w:color w:val="000000"/>
          <w:sz w:val="19"/>
        </w:rPr>
        <w:t>TEQSA has been publicly warned over the scope and conduct of its regulatory intervention at the Australian National University.</w:t>
      </w:r>
      <w:r>
        <w:rPr>
          <w:rFonts w:ascii="Arial" w:hAnsi="Arial"/>
          <w:color w:val="000000"/>
          <w:sz w:val="19"/>
        </w:rPr>
        <w:t xml:space="preserve"> (</w:t>
      </w:r>
      <w:hyperlink r:id="rId12">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Competition and Consumer Commission</w:t>
      </w:r>
      <w:r>
        <w:rPr>
          <w:rFonts w:ascii="Arial" w:hAnsi="Arial"/>
          <w:color w:val="000000"/>
          <w:sz w:val="19"/>
        </w:rPr>
        <w:t xml:space="preserve"> — </w:t>
      </w:r>
      <w:r>
        <w:rPr>
          <w:rFonts w:ascii="Arial" w:hAnsi="Arial"/>
          <w:color w:val="000000"/>
          <w:sz w:val="19"/>
        </w:rPr>
        <w:t>The ACCC welcomed an additional $67.7 million in Budget funding to expand enforcement and pursue more consumer law breaches.</w:t>
      </w:r>
      <w:r>
        <w:rPr>
          <w:rFonts w:ascii="Arial" w:hAnsi="Arial"/>
          <w:color w:val="000000"/>
          <w:sz w:val="19"/>
        </w:rPr>
        <w:t xml:space="preserve"> (</w:t>
      </w:r>
      <w:hyperlink r:id="rId13">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Environment Protection Authority Victoria</w:t>
      </w:r>
      <w:r>
        <w:rPr>
          <w:rFonts w:ascii="Arial" w:hAnsi="Arial"/>
          <w:color w:val="000000"/>
          <w:sz w:val="19"/>
        </w:rPr>
        <w:t xml:space="preserve"> — </w:t>
      </w:r>
      <w:r>
        <w:rPr>
          <w:rFonts w:ascii="Arial" w:hAnsi="Arial"/>
          <w:color w:val="000000"/>
          <w:sz w:val="19"/>
        </w:rPr>
        <w:t>EPA Victoria convened community engagement on the multi-million dollar Veolia enforcement payout to affected residents.</w:t>
      </w:r>
      <w:r>
        <w:rPr>
          <w:rFonts w:ascii="Arial" w:hAnsi="Arial"/>
          <w:color w:val="000000"/>
          <w:sz w:val="19"/>
        </w:rPr>
        <w:t xml:space="preserve"> (</w:t>
      </w:r>
      <w:hyperlink r:id="rId14">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Department of Defence</w:t>
      </w:r>
      <w:r>
        <w:rPr>
          <w:rFonts w:ascii="Arial" w:hAnsi="Arial"/>
          <w:color w:val="000000"/>
          <w:sz w:val="19"/>
        </w:rPr>
        <w:t xml:space="preserve"> — </w:t>
      </w:r>
      <w:r>
        <w:rPr>
          <w:rFonts w:ascii="Arial" w:hAnsi="Arial"/>
          <w:color w:val="000000"/>
          <w:sz w:val="19"/>
        </w:rPr>
        <w:t>Defence's 2026 Budget leaves $17.4 billion of programmed spending uplift unallocated, signalling further capability decisions still to come.</w:t>
      </w:r>
      <w:r>
        <w:rPr>
          <w:rFonts w:ascii="Arial" w:hAnsi="Arial"/>
          <w:color w:val="000000"/>
          <w:sz w:val="19"/>
        </w:rPr>
        <w:t xml:space="preserve"> (</w:t>
      </w:r>
      <w:hyperlink r:id="rId15">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Transport Safety Bureau</w:t>
      </w:r>
      <w:r>
        <w:rPr>
          <w:rFonts w:ascii="Arial" w:hAnsi="Arial"/>
          <w:color w:val="000000"/>
          <w:sz w:val="19"/>
        </w:rPr>
        <w:t xml:space="preserve"> — </w:t>
      </w:r>
      <w:r>
        <w:rPr>
          <w:rFonts w:ascii="Arial" w:hAnsi="Arial"/>
          <w:color w:val="000000"/>
          <w:sz w:val="19"/>
        </w:rPr>
        <w:t>The ATSB published analysis of interviews with Australian aerial firefighting agencies and operators on aviation safety risks.</w:t>
      </w:r>
      <w:r>
        <w:rPr>
          <w:rFonts w:ascii="Arial" w:hAnsi="Arial"/>
          <w:color w:val="000000"/>
          <w:sz w:val="19"/>
        </w:rPr>
        <w:t xml:space="preserve"> (</w:t>
      </w:r>
      <w:hyperlink r:id="rId16">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Transaction Reports and Analysis Centre</w:t>
      </w:r>
      <w:r>
        <w:rPr>
          <w:rFonts w:ascii="Arial" w:hAnsi="Arial"/>
          <w:color w:val="000000"/>
          <w:sz w:val="19"/>
        </w:rPr>
        <w:t xml:space="preserve"> — </w:t>
      </w:r>
      <w:r>
        <w:rPr>
          <w:rFonts w:ascii="Arial" w:hAnsi="Arial"/>
          <w:color w:val="000000"/>
          <w:sz w:val="19"/>
        </w:rPr>
        <w:t>AUSTRAC released registration questions and guidance for virtual asset service providers ahead of expanded AML/CTF obligations.</w:t>
      </w:r>
      <w:r>
        <w:rPr>
          <w:rFonts w:ascii="Arial" w:hAnsi="Arial"/>
          <w:color w:val="000000"/>
          <w:sz w:val="19"/>
        </w:rPr>
        <w:t xml:space="preserve"> (</w:t>
      </w:r>
      <w:hyperlink r:id="rId17">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Taxation Office</w:t>
      </w:r>
      <w:r>
        <w:rPr>
          <w:rFonts w:ascii="Arial" w:hAnsi="Arial"/>
          <w:color w:val="000000"/>
          <w:sz w:val="19"/>
        </w:rPr>
        <w:t xml:space="preserve"> — </w:t>
      </w:r>
      <w:r>
        <w:rPr>
          <w:rFonts w:ascii="Arial" w:hAnsi="Arial"/>
          <w:color w:val="000000"/>
          <w:sz w:val="19"/>
        </w:rPr>
        <w:t>The ATO flagged tax reform introducing a minimum tax on discretionary trusts, signalling tighter integrity settings for private wealth structures.</w:t>
      </w:r>
      <w:r>
        <w:rPr>
          <w:rFonts w:ascii="Arial" w:hAnsi="Arial"/>
          <w:color w:val="000000"/>
          <w:sz w:val="19"/>
        </w:rPr>
        <w:t xml:space="preserve"> (</w:t>
      </w:r>
      <w:hyperlink r:id="rId18">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Department of the Treasury</w:t>
      </w:r>
      <w:r>
        <w:rPr>
          <w:rFonts w:ascii="Arial" w:hAnsi="Arial"/>
          <w:color w:val="000000"/>
          <w:sz w:val="19"/>
        </w:rPr>
        <w:t xml:space="preserve"> — </w:t>
      </w:r>
      <w:r>
        <w:rPr>
          <w:rFonts w:ascii="Arial" w:hAnsi="Arial"/>
          <w:color w:val="000000"/>
          <w:sz w:val="19"/>
        </w:rPr>
        <w:t>Treasury is progressing payments system modernisation reforms, setting out readiness expectations for licensed payment service providers.</w:t>
      </w:r>
      <w:r>
        <w:rPr>
          <w:rFonts w:ascii="Arial" w:hAnsi="Arial"/>
          <w:color w:val="000000"/>
          <w:sz w:val="19"/>
        </w:rPr>
        <w:t xml:space="preserve"> (</w:t>
      </w:r>
      <w:hyperlink r:id="rId19">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Securities and Investments Commission</w:t>
      </w:r>
      <w:r>
        <w:rPr>
          <w:rFonts w:ascii="Arial" w:hAnsi="Arial"/>
          <w:color w:val="000000"/>
          <w:sz w:val="19"/>
        </w:rPr>
        <w:t xml:space="preserve"> — </w:t>
      </w:r>
      <w:r>
        <w:rPr>
          <w:rFonts w:ascii="Arial" w:hAnsi="Arial"/>
          <w:color w:val="000000"/>
          <w:sz w:val="19"/>
        </w:rPr>
        <w:t>ASIC is investigating DroneShield over continuous disclosure compliance and share trading by insiders.</w:t>
      </w:r>
      <w:r>
        <w:rPr>
          <w:rFonts w:ascii="Arial" w:hAnsi="Arial"/>
          <w:color w:val="000000"/>
          <w:sz w:val="19"/>
        </w:rPr>
        <w:t xml:space="preserve"> (</w:t>
      </w:r>
      <w:hyperlink r:id="rId20">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Transaction Reports and Analysis Centre</w:t>
      </w:r>
      <w:r>
        <w:rPr>
          <w:rFonts w:ascii="Arial" w:hAnsi="Arial"/>
          <w:color w:val="000000"/>
          <w:sz w:val="19"/>
        </w:rPr>
        <w:t xml:space="preserve"> — </w:t>
      </w:r>
      <w:r>
        <w:rPr>
          <w:rFonts w:ascii="Arial" w:hAnsi="Arial"/>
          <w:color w:val="000000"/>
          <w:sz w:val="19"/>
        </w:rPr>
        <w:t>AUSTRAC published its Money Laundering Update 2026, refreshing typologies and supervisory priorities for reporting entities.</w:t>
      </w:r>
      <w:r>
        <w:rPr>
          <w:rFonts w:ascii="Arial" w:hAnsi="Arial"/>
          <w:color w:val="000000"/>
          <w:sz w:val="19"/>
        </w:rPr>
        <w:t xml:space="preserve"> (</w:t>
      </w:r>
      <w:hyperlink r:id="rId21">
        <w:r>
          <w:rPr>
            <w:rFonts w:ascii="Arial" w:hAnsi="Arial" w:cs="Arial"/>
            <w:color w:val="0000FF"/>
            <w:sz w:val="19"/>
            <w:szCs w:val="19"/>
            <w:u w:val="single"/>
          </w:rPr>
          <w:t xml:space="preserve">Read more</w:t>
        </w:r>
      </w:hyperlink>
      <w:r>
        <w:rPr>
          <w:rFonts w:ascii="Arial" w:hAnsi="Arial"/>
          <w:color w:val="000000"/>
          <w:sz w:val="19"/>
        </w:rPr>
        <w:t>)</w:t>
      </w:r>
    </w:p>
    <w:p>
      <w:pPr>
        <w:pStyle w:val="subheading_letter"/>
      </w:pPr>
      <w:r>
        <w:rPr>
          <w:rFonts w:ascii="Arial" w:hAnsi="Arial"/>
          <w:b/>
          <w:color w:val="76D2FF"/>
          <w:sz w:val="21"/>
        </w:rPr>
        <w:t>Our clients in the news</w:t>
      </w:r>
    </w:p>
    <w:p>
      <w:pPr>
        <w:pStyle w:val="body_letter"/>
      </w:pPr>
      <w:r>
        <w:rPr>
          <w:rFonts w:ascii="Arial" w:hAnsi="Arial"/>
          <w:b/>
          <w:color w:val="000000"/>
          <w:sz w:val="19"/>
        </w:rPr>
        <w:t>Victoria</w:t>
      </w:r>
    </w:p>
    <w:p>
      <w:pPr>
        <w:pStyle w:val="ListBullet"/>
      </w:pPr>
      <w:r>
        <w:rPr>
          <w:rFonts w:ascii="Arial" w:hAnsi="Arial"/>
          <w:b/>
          <w:color w:val="000000"/>
          <w:sz w:val="19"/>
        </w:rPr>
        <w:t>Environment Protection Authority Victoria</w:t>
      </w:r>
      <w:r>
        <w:rPr>
          <w:rFonts w:ascii="Arial" w:hAnsi="Arial"/>
          <w:color w:val="000000"/>
          <w:sz w:val="19"/>
        </w:rPr>
        <w:t xml:space="preserve"> — </w:t>
      </w:r>
      <w:r>
        <w:rPr>
          <w:rFonts w:ascii="Arial" w:hAnsi="Arial"/>
          <w:color w:val="000000"/>
          <w:sz w:val="19"/>
        </w:rPr>
        <w:t>EPA wins Supreme Court appeal on Landfill Levy</w:t>
      </w:r>
      <w:r>
        <w:rPr>
          <w:rFonts w:ascii="Arial" w:hAnsi="Arial"/>
          <w:color w:val="000000"/>
          <w:sz w:val="19"/>
        </w:rPr>
        <w:t xml:space="preserve"> (</w:t>
      </w:r>
      <w:hyperlink r:id="rId22">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Environment Protection Authority Victoria</w:t>
      </w:r>
      <w:r>
        <w:rPr>
          <w:rFonts w:ascii="Arial" w:hAnsi="Arial"/>
          <w:color w:val="000000"/>
          <w:sz w:val="19"/>
        </w:rPr>
        <w:t xml:space="preserve"> — </w:t>
      </w:r>
      <w:r>
        <w:rPr>
          <w:rFonts w:ascii="Arial" w:hAnsi="Arial"/>
          <w:color w:val="000000"/>
          <w:sz w:val="19"/>
        </w:rPr>
        <w:t>EPA blitz on rogue skip bin operators</w:t>
      </w:r>
      <w:r>
        <w:rPr>
          <w:rFonts w:ascii="Arial" w:hAnsi="Arial"/>
          <w:color w:val="000000"/>
          <w:sz w:val="19"/>
        </w:rPr>
        <w:t xml:space="preserve"> (</w:t>
      </w:r>
      <w:hyperlink r:id="rId23">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Victorian Building Authority</w:t>
      </w:r>
      <w:r>
        <w:rPr>
          <w:rFonts w:ascii="Arial" w:hAnsi="Arial"/>
          <w:color w:val="000000"/>
          <w:sz w:val="19"/>
        </w:rPr>
        <w:t xml:space="preserve"> — </w:t>
      </w:r>
      <w:r>
        <w:rPr>
          <w:rFonts w:ascii="Arial" w:hAnsi="Arial"/>
          <w:color w:val="000000"/>
          <w:sz w:val="19"/>
        </w:rPr>
        <w:t>VBA publishes NCC 2025 amended variations</w:t>
      </w:r>
      <w:r>
        <w:rPr>
          <w:rFonts w:ascii="Arial" w:hAnsi="Arial"/>
          <w:color w:val="000000"/>
          <w:sz w:val="19"/>
        </w:rPr>
        <w:t xml:space="preserve"> (</w:t>
      </w:r>
      <w:hyperlink r:id="rId24">
        <w:r>
          <w:rPr>
            <w:rFonts w:ascii="Arial" w:hAnsi="Arial" w:cs="Arial"/>
            <w:color w:val="0000FF"/>
            <w:sz w:val="19"/>
            <w:szCs w:val="19"/>
            <w:u w:val="single"/>
          </w:rPr>
          <w:t xml:space="preserve">Read more</w:t>
        </w:r>
      </w:hyperlink>
      <w:r>
        <w:rPr>
          <w:rFonts w:ascii="Arial" w:hAnsi="Arial"/>
          <w:color w:val="000000"/>
          <w:sz w:val="19"/>
        </w:rPr>
        <w:t>)</w:t>
      </w:r>
    </w:p>
    <w:p>
      <w:pPr>
        <w:pStyle w:val="body_letter"/>
      </w:pPr>
      <w:r>
        <w:rPr>
          <w:rFonts w:ascii="Arial" w:hAnsi="Arial"/>
          <w:b/>
          <w:color w:val="000000"/>
          <w:sz w:val="19"/>
        </w:rPr>
        <w:t>Commonwealth</w:t>
      </w:r>
    </w:p>
    <w:p>
      <w:pPr>
        <w:pStyle w:val="ListBullet"/>
      </w:pPr>
      <w:r>
        <w:rPr>
          <w:rFonts w:ascii="Arial" w:hAnsi="Arial"/>
          <w:b/>
          <w:color w:val="000000"/>
          <w:sz w:val="19"/>
        </w:rPr>
        <w:t>Australian Competition and Consumer Commission</w:t>
      </w:r>
      <w:r>
        <w:rPr>
          <w:rFonts w:ascii="Arial" w:hAnsi="Arial"/>
          <w:color w:val="000000"/>
          <w:sz w:val="19"/>
        </w:rPr>
        <w:t xml:space="preserve"> — </w:t>
      </w:r>
      <w:r>
        <w:rPr>
          <w:rFonts w:ascii="Arial" w:hAnsi="Arial"/>
          <w:color w:val="000000"/>
          <w:sz w:val="19"/>
        </w:rPr>
        <w:t>ACCC welcomes A$67.7m enforcement funding boost</w:t>
      </w:r>
      <w:r>
        <w:rPr>
          <w:rFonts w:ascii="Arial" w:hAnsi="Arial"/>
          <w:color w:val="000000"/>
          <w:sz w:val="19"/>
        </w:rPr>
        <w:t xml:space="preserve"> (</w:t>
      </w:r>
      <w:hyperlink r:id="rId25">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Energy Regulator</w:t>
      </w:r>
      <w:r>
        <w:rPr>
          <w:rFonts w:ascii="Arial" w:hAnsi="Arial"/>
          <w:color w:val="000000"/>
          <w:sz w:val="19"/>
        </w:rPr>
        <w:t xml:space="preserve"> — </w:t>
      </w:r>
      <w:r>
        <w:rPr>
          <w:rFonts w:ascii="Arial" w:hAnsi="Arial"/>
          <w:color w:val="000000"/>
          <w:sz w:val="19"/>
        </w:rPr>
        <w:t>AER releases inaugural wholesale gas market performance report</w:t>
      </w:r>
      <w:r>
        <w:rPr>
          <w:rFonts w:ascii="Arial" w:hAnsi="Arial"/>
          <w:color w:val="000000"/>
          <w:sz w:val="19"/>
        </w:rPr>
        <w:t xml:space="preserve"> (</w:t>
      </w:r>
      <w:hyperlink r:id="rId26">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National Disability Insurance Agency</w:t>
      </w:r>
      <w:r>
        <w:rPr>
          <w:rFonts w:ascii="Arial" w:hAnsi="Arial"/>
          <w:color w:val="000000"/>
          <w:sz w:val="19"/>
        </w:rPr>
        <w:t xml:space="preserve"> — </w:t>
      </w:r>
      <w:r>
        <w:rPr>
          <w:rFonts w:ascii="Arial" w:hAnsi="Arial"/>
          <w:color w:val="000000"/>
          <w:sz w:val="19"/>
        </w:rPr>
        <w:t>Proposed NDIS rules require exhausting 'all appropriate' treatments</w:t>
      </w:r>
      <w:r>
        <w:rPr>
          <w:rFonts w:ascii="Arial" w:hAnsi="Arial"/>
          <w:color w:val="000000"/>
          <w:sz w:val="19"/>
        </w:rPr>
        <w:t xml:space="preserve"> (</w:t>
      </w:r>
      <w:hyperlink r:id="rId27">
        <w:r>
          <w:rPr>
            <w:rFonts w:ascii="Arial" w:hAnsi="Arial" w:cs="Arial"/>
            <w:color w:val="0000FF"/>
            <w:sz w:val="19"/>
            <w:szCs w:val="19"/>
            <w:u w:val="single"/>
          </w:rPr>
          <w:t xml:space="preserve">Read more</w:t>
        </w:r>
      </w:hyperlink>
      <w:r>
        <w:rPr>
          <w:rFonts w:ascii="Arial" w:hAnsi="Arial"/>
          <w:color w:val="000000"/>
          <w:sz w:val="19"/>
        </w:rPr>
        <w:t>)</w:t>
      </w:r>
    </w:p>
    <w:p>
      <w:pPr>
        <w:pStyle w:val="body_letter"/>
      </w:pPr>
      <w:r>
        <w:rPr>
          <w:rFonts w:ascii="Arial" w:hAnsi="Arial"/>
          <w:b/>
          <w:color w:val="000000"/>
          <w:sz w:val="19"/>
        </w:rPr>
        <w:t>New South Wales</w:t>
      </w:r>
    </w:p>
    <w:p>
      <w:pPr>
        <w:pStyle w:val="ListBullet"/>
      </w:pPr>
      <w:r>
        <w:rPr>
          <w:rFonts w:ascii="Arial" w:hAnsi="Arial"/>
          <w:b/>
          <w:color w:val="000000"/>
          <w:sz w:val="19"/>
        </w:rPr>
        <w:t>State Insurance Regulatory Authority</w:t>
      </w:r>
      <w:r>
        <w:rPr>
          <w:rFonts w:ascii="Arial" w:hAnsi="Arial"/>
          <w:color w:val="000000"/>
          <w:sz w:val="19"/>
        </w:rPr>
        <w:t xml:space="preserve"> — </w:t>
      </w:r>
      <w:r>
        <w:rPr>
          <w:rFonts w:ascii="Arial" w:hAnsi="Arial"/>
          <w:color w:val="000000"/>
          <w:sz w:val="19"/>
        </w:rPr>
        <w:t>SIRA sets two-year timeline to reshape injury health provider rules</w:t>
      </w:r>
      <w:r>
        <w:rPr>
          <w:rFonts w:ascii="Arial" w:hAnsi="Arial"/>
          <w:color w:val="000000"/>
          <w:sz w:val="19"/>
        </w:rPr>
        <w:t xml:space="preserve"> (</w:t>
      </w:r>
      <w:hyperlink r:id="rId28">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Independent Commission Against Corruption</w:t>
      </w:r>
      <w:r>
        <w:rPr>
          <w:rFonts w:ascii="Arial" w:hAnsi="Arial"/>
          <w:color w:val="000000"/>
          <w:sz w:val="19"/>
        </w:rPr>
        <w:t xml:space="preserve"> — </w:t>
      </w:r>
      <w:r>
        <w:rPr>
          <w:rFonts w:ascii="Arial" w:hAnsi="Arial"/>
          <w:color w:val="000000"/>
          <w:sz w:val="19"/>
        </w:rPr>
        <w:t>ICAC opens 'Pink Ops' public hearings</w:t>
      </w:r>
      <w:r>
        <w:rPr>
          <w:rFonts w:ascii="Arial" w:hAnsi="Arial"/>
          <w:color w:val="000000"/>
          <w:sz w:val="19"/>
        </w:rPr>
        <w:t xml:space="preserve"> (</w:t>
      </w:r>
      <w:hyperlink r:id="rId29">
        <w:r>
          <w:rPr>
            <w:rFonts w:ascii="Arial" w:hAnsi="Arial" w:cs="Arial"/>
            <w:color w:val="0000FF"/>
            <w:sz w:val="19"/>
            <w:szCs w:val="19"/>
            <w:u w:val="single"/>
          </w:rPr>
          <w:t xml:space="preserve">Read more</w:t>
        </w:r>
      </w:hyperlink>
      <w:r>
        <w:rPr>
          <w:rFonts w:ascii="Arial" w:hAnsi="Arial"/>
          <w:color w:val="000000"/>
          <w:sz w:val="19"/>
        </w:rPr>
        <w:t>)</w:t>
      </w:r>
    </w:p>
    <w:p>
      <w:pPr>
        <w:pStyle w:val="subheading_letter"/>
      </w:pPr>
      <w:r>
        <w:rPr>
          <w:rFonts w:ascii="Arial" w:hAnsi="Arial"/>
          <w:b/>
          <w:color w:val="76D2FF"/>
          <w:sz w:val="21"/>
        </w:rPr>
        <w:t>Regulatory Transformation: navigating emerging risks, driving AI adoption and reducing regulatory burden</w:t>
      </w:r>
    </w:p>
    <w:p>
      <w:pPr>
        <w:pStyle w:val="body_letter"/>
      </w:pPr>
      <w:r>
        <w:rPr>
          <w:rFonts w:ascii="Arial" w:hAnsi="Arial"/>
          <w:b w:val="0"/>
          <w:color w:val="000000"/>
          <w:sz w:val="19"/>
        </w:rPr>
        <w:t>Regulators are facing a shifting operating environment as technology, markets, environmental pressures and societal expectations evolve faster than traditional regulatory frameworks. Fragmented data and limited intelligence continue to make risk prioritisation difficult.</w:t>
      </w:r>
    </w:p>
    <w:p>
      <w:pPr>
        <w:pStyle w:val="body_letter"/>
      </w:pPr>
      <w:r>
        <w:rPr>
          <w:rFonts w:ascii="Arial" w:hAnsi="Arial"/>
          <w:b w:val="0"/>
          <w:color w:val="000000"/>
          <w:sz w:val="19"/>
        </w:rPr>
        <w:t>There is a growing opportunity to use advanced analytics to better target regulatory effort. Many regulators are still working to integrate data across systems, uplift analytical capability and embed insights into everyday decision-making.</w:t>
      </w:r>
    </w:p>
    <w:p>
      <w:pPr>
        <w:pStyle w:val="body_letter"/>
      </w:pPr>
      <w:r>
        <w:rPr>
          <w:rFonts w:ascii="Arial" w:hAnsi="Arial"/>
          <w:b w:val="0"/>
          <w:color w:val="000000"/>
          <w:sz w:val="19"/>
        </w:rPr>
        <w:t>AI adoption is also becoming a core regulatory transformation issue. Regulators are seeking to balance opportunities for automation and improved risk identification with the need to manage governance, transparency, bias, legal risk, privacy and public confidence.</w:t>
      </w:r>
    </w:p>
    <w:p>
      <w:pPr>
        <w:pStyle w:val="body_letter"/>
      </w:pPr>
      <w:r>
        <w:rPr>
          <w:rFonts w:ascii="Arial" w:hAnsi="Arial"/>
          <w:b w:val="0"/>
          <w:color w:val="000000"/>
          <w:sz w:val="19"/>
        </w:rPr>
        <w:t>At the same time, governments are under pressure to reduce red tape, make faster decisions and manage fiscal constraints. This is driving interest in regulatory consolidation, shared-service models and more consistent approaches to regulatory delivery, while maintaining fairness and strong outcomes.</w:t>
      </w:r>
    </w:p>
    <w:p>
      <w:pPr>
        <w:pStyle w:val="body_letter"/>
      </w:pPr>
      <w:r>
        <w:rPr>
          <w:rFonts w:ascii="Arial" w:hAnsi="Arial"/>
          <w:b/>
          <w:color w:val="000000"/>
          <w:sz w:val="19"/>
        </w:rPr>
        <w:t>Emerging risks</w:t>
      </w:r>
    </w:p>
    <w:p>
      <w:pPr>
        <w:pStyle w:val="ListBullet"/>
      </w:pPr>
      <w:r>
        <w:rPr>
          <w:rFonts w:ascii="Arial" w:hAnsi="Arial"/>
          <w:b/>
          <w:color w:val="000000"/>
          <w:sz w:val="19"/>
        </w:rPr>
        <w:t>AER flags wholesale gas market performance concerns</w:t>
      </w:r>
      <w:r>
        <w:rPr>
          <w:rFonts w:ascii="Arial" w:hAnsi="Arial"/>
          <w:color w:val="000000"/>
          <w:sz w:val="19"/>
        </w:rPr>
        <w:t xml:space="preserve"> — </w:t>
      </w:r>
      <w:r>
        <w:rPr>
          <w:rFonts w:ascii="Arial" w:hAnsi="Arial"/>
          <w:color w:val="000000"/>
          <w:sz w:val="19"/>
        </w:rPr>
        <w:t>The Australian Energy Regulator has released its inaugural report into wholesale gas market performance, signalling closer scrutiny of pricing, supply tightness and conduct as the east coast market…</w:t>
      </w:r>
      <w:r>
        <w:rPr>
          <w:rFonts w:ascii="Arial" w:hAnsi="Arial"/>
          <w:color w:val="000000"/>
          <w:sz w:val="19"/>
        </w:rPr>
        <w:t xml:space="preserve"> (</w:t>
      </w:r>
      <w:hyperlink r:id="rId30">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AMCS warns proposed National Environmental Standards will fail</w:t>
      </w:r>
      <w:r>
        <w:rPr>
          <w:rFonts w:ascii="Arial" w:hAnsi="Arial"/>
          <w:color w:val="000000"/>
          <w:sz w:val="19"/>
        </w:rPr>
        <w:t xml:space="preserve"> — </w:t>
      </w:r>
      <w:r>
        <w:rPr>
          <w:rFonts w:ascii="Arial" w:hAnsi="Arial"/>
          <w:color w:val="000000"/>
          <w:sz w:val="19"/>
        </w:rPr>
        <w:t>The Australian Marine Conservation Society has flagged that the Federal Government's proposed National Environmental Standards will fail to deliver intended biodiversity and climate protections,…</w:t>
      </w:r>
      <w:r>
        <w:rPr>
          <w:rFonts w:ascii="Arial" w:hAnsi="Arial"/>
          <w:color w:val="000000"/>
          <w:sz w:val="19"/>
        </w:rPr>
        <w:t xml:space="preserve"> (</w:t>
      </w:r>
      <w:hyperlink r:id="rId31">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Ahpra targets racism and discrimination in healthcare</w:t>
      </w:r>
      <w:r>
        <w:rPr>
          <w:rFonts w:ascii="Arial" w:hAnsi="Arial"/>
          <w:color w:val="000000"/>
          <w:sz w:val="19"/>
        </w:rPr>
        <w:t xml:space="preserve"> — </w:t>
      </w:r>
      <w:r>
        <w:rPr>
          <w:rFonts w:ascii="Arial" w:hAnsi="Arial"/>
          <w:color w:val="000000"/>
          <w:sz w:val="19"/>
        </w:rPr>
        <w:t>The Australian Health Practitioner Regulation Agency has set out new expectations on eliminating racism and discrimination from healthcare, signalling a cultural-safety lens across registration,…</w:t>
      </w:r>
      <w:r>
        <w:rPr>
          <w:rFonts w:ascii="Arial" w:hAnsi="Arial"/>
          <w:color w:val="000000"/>
          <w:sz w:val="19"/>
        </w:rPr>
        <w:t xml:space="preserve"> (</w:t>
      </w:r>
      <w:hyperlink r:id="rId32">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Inspector-General of Aged Care resigns</w:t>
      </w:r>
      <w:r>
        <w:rPr>
          <w:rFonts w:ascii="Arial" w:hAnsi="Arial"/>
          <w:color w:val="000000"/>
          <w:sz w:val="19"/>
        </w:rPr>
        <w:t xml:space="preserve"> — </w:t>
      </w:r>
      <w:r>
        <w:rPr>
          <w:rFonts w:ascii="Arial" w:hAnsi="Arial"/>
          <w:color w:val="000000"/>
          <w:sz w:val="19"/>
        </w:rPr>
        <w:t>The resignation of the Inspector-General of Aged Care raises immediate oversight and continuity risks for families and providers as the new Aged Care Act bedding-in continues.</w:t>
      </w:r>
      <w:r>
        <w:rPr>
          <w:rFonts w:ascii="Arial" w:hAnsi="Arial"/>
          <w:color w:val="000000"/>
          <w:sz w:val="19"/>
        </w:rPr>
        <w:t xml:space="preserve"> (</w:t>
      </w:r>
      <w:hyperlink r:id="rId33">
        <w:r>
          <w:rPr>
            <w:rFonts w:ascii="Arial" w:hAnsi="Arial" w:cs="Arial"/>
            <w:color w:val="0000FF"/>
            <w:sz w:val="19"/>
            <w:szCs w:val="19"/>
            <w:u w:val="single"/>
          </w:rPr>
          <w:t xml:space="preserve">Read more</w:t>
        </w:r>
      </w:hyperlink>
      <w:r>
        <w:rPr>
          <w:rFonts w:ascii="Arial" w:hAnsi="Arial"/>
          <w:color w:val="000000"/>
          <w:sz w:val="19"/>
        </w:rPr>
        <w:t>)</w:t>
      </w:r>
    </w:p>
    <w:p>
      <w:pPr>
        <w:pStyle w:val="body_letter"/>
      </w:pPr>
      <w:r>
        <w:rPr>
          <w:rFonts w:ascii="Arial" w:hAnsi="Arial"/>
          <w:b/>
          <w:color w:val="000000"/>
          <w:sz w:val="19"/>
        </w:rPr>
        <w:t>AI adoption</w:t>
      </w:r>
    </w:p>
    <w:p>
      <w:pPr>
        <w:pStyle w:val="ListBullet"/>
      </w:pPr>
      <w:r>
        <w:rPr>
          <w:rFonts w:ascii="Arial" w:hAnsi="Arial"/>
          <w:b/>
          <w:color w:val="000000"/>
          <w:sz w:val="19"/>
        </w:rPr>
        <w:t>ASIC calls for urgent cyber uplift as AI accelerates threats</w:t>
      </w:r>
      <w:r>
        <w:rPr>
          <w:rFonts w:ascii="Arial" w:hAnsi="Arial"/>
          <w:color w:val="000000"/>
          <w:sz w:val="19"/>
        </w:rPr>
        <w:t xml:space="preserve"> — </w:t>
      </w:r>
      <w:r>
        <w:rPr>
          <w:rFonts w:ascii="Arial" w:hAnsi="Arial"/>
          <w:color w:val="000000"/>
          <w:sz w:val="19"/>
        </w:rPr>
        <w:t>ASIC has called on AFS licensees and market participants to urgently uplift cyber resilience as generative AI accelerates the scale, speed and sophistication of cyber attacks on the financial system.</w:t>
      </w:r>
      <w:r>
        <w:rPr>
          <w:rFonts w:ascii="Arial" w:hAnsi="Arial"/>
          <w:color w:val="000000"/>
          <w:sz w:val="19"/>
        </w:rPr>
        <w:t xml:space="preserve"> (</w:t>
      </w:r>
      <w:hyperlink r:id="rId34">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APRA warns banks frontier AI could supercharge cyber attacks</w:t>
      </w:r>
      <w:r>
        <w:rPr>
          <w:rFonts w:ascii="Arial" w:hAnsi="Arial"/>
          <w:color w:val="000000"/>
          <w:sz w:val="19"/>
        </w:rPr>
        <w:t xml:space="preserve"> — </w:t>
      </w:r>
      <w:r>
        <w:rPr>
          <w:rFonts w:ascii="Arial" w:hAnsi="Arial"/>
          <w:color w:val="000000"/>
          <w:sz w:val="19"/>
        </w:rPr>
        <w:t>Australian banks have been warned that frontier AI could create larger and faster cyber attacks, prompting regulators to push for stronger board-level governance, model risk controls and incident…</w:t>
      </w:r>
      <w:r>
        <w:rPr>
          <w:rFonts w:ascii="Arial" w:hAnsi="Arial"/>
          <w:color w:val="000000"/>
          <w:sz w:val="19"/>
        </w:rPr>
        <w:t xml:space="preserve"> (</w:t>
      </w:r>
      <w:hyperlink r:id="rId35">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TEQSA releases updated academic integrity resources for AI era</w:t>
      </w:r>
      <w:r>
        <w:rPr>
          <w:rFonts w:ascii="Arial" w:hAnsi="Arial"/>
          <w:color w:val="000000"/>
          <w:sz w:val="19"/>
        </w:rPr>
        <w:t xml:space="preserve"> — </w:t>
      </w:r>
      <w:r>
        <w:rPr>
          <w:rFonts w:ascii="Arial" w:hAnsi="Arial"/>
          <w:color w:val="000000"/>
          <w:sz w:val="19"/>
        </w:rPr>
        <w:t>TEQSA has released new and updated academic integrity resources to help higher education providers respond to generative AI risks in assessment, contract cheating and investigations.</w:t>
      </w:r>
      <w:r>
        <w:rPr>
          <w:rFonts w:ascii="Arial" w:hAnsi="Arial"/>
          <w:color w:val="000000"/>
          <w:sz w:val="19"/>
        </w:rPr>
        <w:t xml:space="preserve"> (</w:t>
      </w:r>
      <w:hyperlink r:id="rId36">
        <w:r>
          <w:rPr>
            <w:rFonts w:ascii="Arial" w:hAnsi="Arial" w:cs="Arial"/>
            <w:color w:val="0000FF"/>
            <w:sz w:val="19"/>
            <w:szCs w:val="19"/>
            <w:u w:val="single"/>
          </w:rPr>
          <w:t xml:space="preserve">Read more</w:t>
        </w:r>
      </w:hyperlink>
      <w:r>
        <w:rPr>
          <w:rFonts w:ascii="Arial" w:hAnsi="Arial"/>
          <w:color w:val="000000"/>
          <w:sz w:val="19"/>
        </w:rPr>
        <w:t>)</w:t>
      </w:r>
    </w:p>
    <w:p>
      <w:pPr>
        <w:pStyle w:val="body_letter"/>
      </w:pPr>
      <w:r>
        <w:rPr>
          <w:rFonts w:ascii="Arial" w:hAnsi="Arial"/>
          <w:b/>
          <w:color w:val="000000"/>
          <w:sz w:val="19"/>
        </w:rPr>
        <w:t>Regulatory burden</w:t>
      </w:r>
    </w:p>
    <w:p>
      <w:pPr>
        <w:pStyle w:val="ListBullet"/>
      </w:pPr>
      <w:r>
        <w:rPr>
          <w:rFonts w:ascii="Arial" w:hAnsi="Arial"/>
          <w:b/>
          <w:color w:val="000000"/>
          <w:sz w:val="19"/>
        </w:rPr>
        <w:t>Federal Budget targets $13b productivity boost</w:t>
      </w:r>
      <w:r>
        <w:rPr>
          <w:rFonts w:ascii="Arial" w:hAnsi="Arial"/>
          <w:color w:val="000000"/>
          <w:sz w:val="19"/>
        </w:rPr>
        <w:t xml:space="preserve"> — </w:t>
      </w:r>
      <w:r>
        <w:rPr>
          <w:rFonts w:ascii="Arial" w:hAnsi="Arial"/>
          <w:color w:val="000000"/>
          <w:sz w:val="19"/>
        </w:rPr>
        <w:t>The Federal Budget's productivity package targets a $13 billion economic boost through regulatory simplification, faster approvals and consolidated regulator effort across infrastructure, housing…</w:t>
      </w:r>
      <w:r>
        <w:rPr>
          <w:rFonts w:ascii="Arial" w:hAnsi="Arial"/>
          <w:color w:val="000000"/>
          <w:sz w:val="19"/>
        </w:rPr>
        <w:t xml:space="preserve"> (</w:t>
      </w:r>
      <w:hyperlink r:id="rId37">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 moves to slash renewable energy approval times</w:t>
      </w:r>
      <w:r>
        <w:rPr>
          <w:rFonts w:ascii="Arial" w:hAnsi="Arial"/>
          <w:color w:val="000000"/>
          <w:sz w:val="19"/>
        </w:rPr>
        <w:t xml:space="preserve"> — </w:t>
      </w:r>
      <w:r>
        <w:rPr>
          <w:rFonts w:ascii="Arial" w:hAnsi="Arial"/>
          <w:color w:val="000000"/>
          <w:sz w:val="19"/>
        </w:rPr>
        <w:t>The Federal Government is moving to slash renewable energy project approval times, signalling pipeline acceleration across environmental, planning and grid-connection regulators.</w:t>
      </w:r>
      <w:r>
        <w:rPr>
          <w:rFonts w:ascii="Arial" w:hAnsi="Arial"/>
          <w:color w:val="000000"/>
          <w:sz w:val="19"/>
        </w:rPr>
        <w:t xml:space="preserve"> (</w:t>
      </w:r>
      <w:hyperlink r:id="rId38">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NSW overhauls building laws for modern construction methods</w:t>
      </w:r>
      <w:r>
        <w:rPr>
          <w:rFonts w:ascii="Arial" w:hAnsi="Arial"/>
          <w:color w:val="000000"/>
          <w:sz w:val="19"/>
        </w:rPr>
        <w:t xml:space="preserve"> — </w:t>
      </w:r>
      <w:r>
        <w:rPr>
          <w:rFonts w:ascii="Arial" w:hAnsi="Arial"/>
          <w:color w:val="000000"/>
          <w:sz w:val="19"/>
        </w:rPr>
        <w:t>The NSW Government has introduced new building laws to enable a new era of approvals and modern methods of construction, recasting regulator roles around prefabrication, certification and…</w:t>
      </w:r>
      <w:r>
        <w:rPr>
          <w:rFonts w:ascii="Arial" w:hAnsi="Arial"/>
          <w:color w:val="000000"/>
          <w:sz w:val="19"/>
        </w:rPr>
        <w:t xml:space="preserve"> (</w:t>
      </w:r>
      <w:hyperlink r:id="rId39">
        <w:r>
          <w:rPr>
            <w:rFonts w:ascii="Arial" w:hAnsi="Arial" w:cs="Arial"/>
            <w:color w:val="0000FF"/>
            <w:sz w:val="19"/>
            <w:szCs w:val="19"/>
            <w:u w:val="single"/>
          </w:rPr>
          <w:t xml:space="preserve">Read more</w:t>
        </w:r>
      </w:hyperlink>
      <w:r>
        <w:rPr>
          <w:rFonts w:ascii="Arial" w:hAnsi="Arial"/>
          <w:color w:val="000000"/>
          <w:sz w:val="19"/>
        </w:rPr>
        <w:t>)</w:t>
      </w:r>
    </w:p>
    <w:p>
      <w:pPr>
        <w:pStyle w:val="subheading_letter"/>
      </w:pPr>
      <w:r>
        <w:rPr>
          <w:rFonts w:ascii="Arial" w:hAnsi="Arial"/>
          <w:b/>
          <w:color w:val="76D2FF"/>
          <w:sz w:val="21"/>
        </w:rPr>
        <w:t>Training, conferences, webinars &amp; in-person sessions</w:t>
      </w:r>
    </w:p>
    <w:p>
      <w:pPr>
        <w:pStyle w:val="ListBullet"/>
      </w:pPr>
      <w:r>
        <w:rPr>
          <w:rFonts w:ascii="Arial" w:hAnsi="Arial"/>
          <w:b/>
          <w:color w:val="000000"/>
          <w:sz w:val="19"/>
        </w:rPr>
        <w:t>AICD Boards &amp; Regulators Lunch — Sydney</w:t>
      </w:r>
      <w:r>
        <w:rPr>
          <w:rFonts w:ascii="Arial" w:hAnsi="Arial"/>
          <w:color w:val="000000"/>
          <w:sz w:val="19"/>
        </w:rPr>
        <w:t xml:space="preserve"> — </w:t>
      </w:r>
      <w:r>
        <w:rPr>
          <w:rFonts w:ascii="Arial" w:hAnsi="Arial"/>
          <w:color w:val="000000"/>
          <w:sz w:val="19"/>
        </w:rPr>
        <w:t>22 May 2026 — AICD · Sydney</w:t>
      </w:r>
      <w:r>
        <w:rPr>
          <w:rFonts w:ascii="Arial" w:hAnsi="Arial"/>
          <w:color w:val="000000"/>
          <w:sz w:val="19"/>
        </w:rPr>
        <w:t xml:space="preserve"> (</w:t>
      </w:r>
      <w:hyperlink r:id="rId40">
        <w:r>
          <w:rPr>
            <w:rFonts w:ascii="Arial" w:hAnsi="Arial" w:cs="Arial"/>
            <w:color w:val="0000FF"/>
            <w:sz w:val="19"/>
            <w:szCs w:val="19"/>
            <w:u w:val="single"/>
          </w:rPr>
          <w:t xml:space="preserve">Register</w:t>
        </w:r>
      </w:hyperlink>
      <w:r>
        <w:rPr>
          <w:rFonts w:ascii="Arial" w:hAnsi="Arial"/>
          <w:color w:val="000000"/>
          <w:sz w:val="19"/>
        </w:rPr>
        <w:t>)</w:t>
      </w:r>
    </w:p>
    <w:p>
      <w:pPr>
        <w:pStyle w:val="ListBullet"/>
      </w:pPr>
      <w:r>
        <w:rPr>
          <w:rFonts w:ascii="Arial" w:hAnsi="Arial"/>
          <w:b/>
          <w:color w:val="000000"/>
          <w:sz w:val="19"/>
        </w:rPr>
        <w:t>All Actuaries Summit 2026</w:t>
      </w:r>
      <w:r>
        <w:rPr>
          <w:rFonts w:ascii="Arial" w:hAnsi="Arial"/>
          <w:color w:val="000000"/>
          <w:sz w:val="19"/>
        </w:rPr>
        <w:t xml:space="preserve"> — </w:t>
      </w:r>
      <w:r>
        <w:rPr>
          <w:rFonts w:ascii="Arial" w:hAnsi="Arial"/>
          <w:color w:val="000000"/>
          <w:sz w:val="19"/>
        </w:rPr>
        <w:t>27 May 2026 — APRA · Online</w:t>
      </w:r>
      <w:r>
        <w:rPr>
          <w:rFonts w:ascii="Arial" w:hAnsi="Arial"/>
          <w:color w:val="000000"/>
          <w:sz w:val="19"/>
        </w:rPr>
        <w:t xml:space="preserve"> (</w:t>
      </w:r>
      <w:hyperlink r:id="rId41">
        <w:r>
          <w:rPr>
            <w:rFonts w:ascii="Arial" w:hAnsi="Arial" w:cs="Arial"/>
            <w:color w:val="0000FF"/>
            <w:sz w:val="19"/>
            <w:szCs w:val="19"/>
            <w:u w:val="single"/>
          </w:rPr>
          <w:t xml:space="preserve">Register</w:t>
        </w:r>
      </w:hyperlink>
      <w:r>
        <w:rPr>
          <w:rFonts w:ascii="Arial" w:hAnsi="Arial"/>
          <w:color w:val="000000"/>
          <w:sz w:val="19"/>
        </w:rPr>
        <w:t>)</w:t>
      </w:r>
    </w:p>
    <w:p>
      <w:pPr>
        <w:pStyle w:val="ListBullet"/>
      </w:pPr>
      <w:r>
        <w:rPr>
          <w:rFonts w:ascii="Arial" w:hAnsi="Arial"/>
          <w:b/>
          <w:color w:val="000000"/>
          <w:sz w:val="19"/>
        </w:rPr>
        <w:t>VIC Cyber Regulator Industry Briefing</w:t>
      </w:r>
      <w:r>
        <w:rPr>
          <w:rFonts w:ascii="Arial" w:hAnsi="Arial"/>
          <w:color w:val="000000"/>
          <w:sz w:val="19"/>
        </w:rPr>
        <w:t xml:space="preserve"> — </w:t>
      </w:r>
      <w:r>
        <w:rPr>
          <w:rFonts w:ascii="Arial" w:hAnsi="Arial"/>
          <w:color w:val="000000"/>
          <w:sz w:val="19"/>
        </w:rPr>
        <w:t>04 Jun 2026 — Office of the Victorian Information Commissioner · Melbourne</w:t>
      </w:r>
      <w:r>
        <w:rPr>
          <w:rFonts w:ascii="Arial" w:hAnsi="Arial"/>
          <w:color w:val="000000"/>
          <w:sz w:val="19"/>
        </w:rPr>
        <w:t xml:space="preserve"> (</w:t>
      </w:r>
      <w:hyperlink r:id="rId42">
        <w:r>
          <w:rPr>
            <w:rFonts w:ascii="Arial" w:hAnsi="Arial" w:cs="Arial"/>
            <w:color w:val="0000FF"/>
            <w:sz w:val="19"/>
            <w:szCs w:val="19"/>
            <w:u w:val="single"/>
          </w:rPr>
          <w:t xml:space="preserve">Register</w:t>
        </w:r>
      </w:hyperlink>
      <w:r>
        <w:rPr>
          <w:rFonts w:ascii="Arial" w:hAnsi="Arial"/>
          <w:color w:val="000000"/>
          <w:sz w:val="19"/>
        </w:rPr>
        <w:t>)</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417"/>
        <w:gridCol w:w="7937"/>
      </w:tblGrid>
      <w:tr>
        <w:tc>
          <w:tcPr>
            <w:tcW w:type="dxa" w:w="1417"/>
          </w:tcPr>
          <w:p>
            <w:pPr>
              <w:spacing w:after="0"/>
            </w:pPr>
            <w:r>
              <w:drawing>
                <wp:inline xmlns:a="http://schemas.openxmlformats.org/drawingml/2006/main" xmlns:pic="http://schemas.openxmlformats.org/drawingml/2006/picture">
                  <wp:extent cx="619200" cy="760494"/>
                  <wp:docPr id="2" name="Picture 2"/>
                  <wp:cNvGraphicFramePr>
                    <a:graphicFrameLocks noChangeAspect="1"/>
                  </wp:cNvGraphicFramePr>
                  <a:graphic>
                    <a:graphicData uri="http://schemas.openxmlformats.org/drawingml/2006/picture">
                      <pic:pic>
                        <pic:nvPicPr>
                          <pic:cNvPr id="0" name="signature-adam.png"/>
                          <pic:cNvPicPr/>
                        </pic:nvPicPr>
                        <pic:blipFill>
                          <a:blip r:embed="rId43"/>
                          <a:stretch>
                            <a:fillRect/>
                          </a:stretch>
                        </pic:blipFill>
                        <pic:spPr>
                          <a:xfrm>
                            <a:off x="0" y="0"/>
                            <a:ext cx="619200" cy="760494"/>
                          </a:xfrm>
                          <a:prstGeom prst="rect"/>
                        </pic:spPr>
                      </pic:pic>
                    </a:graphicData>
                  </a:graphic>
                </wp:inline>
              </w:drawing>
            </w:r>
          </w:p>
        </w:tc>
        <w:tc>
          <w:tcPr>
            <w:tcW w:type="dxa" w:w="7937"/>
          </w:tcPr>
          <w:p>
            <w:pPr>
              <w:spacing w:after="0" w:line="240" w:lineRule="auto"/>
            </w:pPr>
            <w:r>
              <w:rPr>
                <w:rFonts w:ascii="Arial" w:hAnsi="Arial"/>
                <w:b/>
                <w:color w:val="000000"/>
                <w:sz w:val="20"/>
              </w:rPr>
              <w:t>Adam Mason-Jefferies</w:t>
            </w:r>
          </w:p>
          <w:p>
            <w:pPr>
              <w:spacing w:after="0" w:line="240" w:lineRule="auto"/>
            </w:pPr>
            <w:r>
              <w:rPr>
                <w:rFonts w:ascii="Arial" w:hAnsi="Arial"/>
                <w:i/>
                <w:color w:val="666666"/>
                <w:sz w:val="18"/>
              </w:rPr>
              <w:t>Director</w:t>
            </w:r>
          </w:p>
          <w:p>
            <w:pPr>
              <w:spacing w:after="0" w:line="240" w:lineRule="auto"/>
            </w:pPr>
            <w:r>
              <w:rPr>
                <w:rFonts w:ascii="Arial" w:hAnsi="Arial"/>
                <w:color w:val="666666"/>
                <w:sz w:val="18"/>
              </w:rPr>
              <w:t>Regulatory Transformation Community of Practice</w:t>
            </w:r>
          </w:p>
        </w:tc>
      </w:tr>
    </w:tbl>
    <w:p>
      <w:pPr>
        <w:spacing w:after="0" w:line="240" w:lineRule="auto"/>
      </w:pPr>
      <w:r>
        <w:rPr>
          <w:rFonts w:ascii="Arial" w:hAnsi="Arial"/>
          <w:b/>
          <w:color w:val="666666"/>
          <w:sz w:val="16"/>
        </w:rPr>
        <w:t>For internal use only.</w:t>
      </w:r>
    </w:p>
    <w:p>
      <w:pPr>
        <w:spacing w:after="0" w:line="240" w:lineRule="auto"/>
      </w:pPr>
      <w:r>
        <w:rPr>
          <w:rFonts w:ascii="Arial" w:hAnsi="Arial"/>
          <w:color w:val="666666"/>
          <w:sz w:val="16"/>
        </w:rPr>
        <w:t>© 2026 KPMG, an Australian partnership and a member firm of the KPMG global organisation of independent member firms affiliated with KPMG International Limited, a private English company limited by guarantee. All rights reserved.</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00338D"/>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00338D"/>
      <w:sz w:val="32"/>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Arial" w:hAnsi="Arial"/>
      <w:b/>
      <w:bCs/>
      <w:color w:val="00338D"/>
      <w:sz w:val="28"/>
    </w:rPr>
  </w:style>
  <w:style w:type="paragraph" w:styleId="Heading4">
    <w:name w:val="heading 4"/>
    <w:basedOn w:val="Normal"/>
    <w:next w:val="Normal"/>
    <w:link w:val="Heading4Char"/>
    <w:uiPriority w:val="9"/>
    <w:semiHidden/>
    <w:unhideWhenUsed/>
    <w:qFormat/>
    <w:rsid w:val="00FC693F"/>
    <w:pPr>
      <w:keepNext/>
      <w:keepLines/>
      <w:spacing w:before="160" w:after="120"/>
      <w:outlineLvl w:val="3"/>
    </w:pPr>
    <w:rPr>
      <w:rFonts w:asciiTheme="majorHAnsi" w:eastAsiaTheme="majorEastAsia" w:hAnsiTheme="majorHAnsi" w:cstheme="majorBidi" w:ascii="Arial" w:hAnsi="Arial"/>
      <w:b/>
      <w:bCs/>
      <w:i/>
      <w:iCs/>
      <w:color w:val="00338D"/>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_letter">
    <w:name w:val="body_letter"/>
    <w:basedOn w:val="Normal"/>
    <w:pPr>
      <w:spacing w:line="240" w:lineRule="auto" w:before="0" w:after="120"/>
      <w:ind w:firstLine="0"/>
    </w:pPr>
    <w:rPr>
      <w:rFonts w:ascii="Arial" w:hAnsi="Arial"/>
      <w:b w:val="0"/>
      <w:i w:val="0"/>
      <w:color w:val="000000"/>
      <w:sz w:val="19"/>
    </w:rPr>
  </w:style>
  <w:style w:type="paragraph" w:customStyle="1" w:styleId="subheading_letter">
    <w:name w:val="subheading_letter"/>
    <w:basedOn w:val="Normal"/>
    <w:pPr>
      <w:spacing w:before="160" w:after="80" w:line="240" w:lineRule="auto"/>
    </w:pPr>
    <w:rPr>
      <w:rFonts w:ascii="Arial" w:hAnsi="Arial"/>
      <w:b/>
      <w:i w:val="0"/>
      <w:color w:val="76D2FF"/>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news.google.com/rss/articles/CBMi0gFBVV95cUxNUWtFOWpCWmduTy1TZGNmZlBqb0hlaWhzLUN2b0haVU1HQV9ibUxJOTJ3OXF6SE5pMGxLSUpxUHZHaTZfRGU0emUzOWlIb1FaaHRtT1M5YXNidzBxanJMWHFCZm5jZnRfZmJlZHJaLWxZd1dQZ3JJaGxicU5GNGdFdVh4QVItRHpzYkYxcUI3TlRIMlRrb2g0Nkxob0dnaGlaMmYtd2VpZWR6eGNzTEFSVG43aDlJeFZudXVZX2kzUkg0X0Rwdmpwc0ZmMkJMOFFQS2c?oc=5" TargetMode="External"/><Relationship Id="rId11" Type="http://schemas.openxmlformats.org/officeDocument/2006/relationships/hyperlink" Target="https://www.theguardian.com/australia-news/2026/may/13/australians-may-only-be-able-to-access-ndis-if-all-appropriate-treatment-options-exhausted-documents-reveal" TargetMode="External"/><Relationship Id="rId12" Type="http://schemas.openxmlformats.org/officeDocument/2006/relationships/hyperlink" Target="https://news.google.com/rss/articles/CBMiugFBVV95cUxNN20yUHRsc3BCTDh1WTNGRlY3LURNZ3BEOS1GcFhHb21sQjNhc25oWjZ6VjN4eG8wSmZxNE0yb1dUaTRSN01QbWFaLU5nRVMyZW9ELWZYYzd1QXB5cHlSX2xuLVhtUWlvTVJLdW1vMGtfNlRySk5QSTNDbEExZEI4M1UxVG93YWF0OU4yVy0ydkstYllZSEpHYTdqMmFoRHpmVFp6RDU5VVhzVG5oeHhBS25DMVNVcWxWRXc?oc=5" TargetMode="External"/><Relationship Id="rId13" Type="http://schemas.openxmlformats.org/officeDocument/2006/relationships/hyperlink" Target="https://www.accc.gov.au/media-release/accc-welcomes-additional-funding" TargetMode="External"/><Relationship Id="rId14" Type="http://schemas.openxmlformats.org/officeDocument/2006/relationships/hyperlink" Target="https://news.google.com/rss/articles/CBMiiAFBVV95cUxOZnpSUUEwX1cteDVoTk1aRzBTRVBEcTN5eXZ4QmNOaEMyLTBQNmQ3Z2hWeTBNQm9xOWdsWEZtak5qMkFXRmg5UUVaN0UzTkI0UVlCZmNCNTRVSGlpUjFQYnhzbGFkcXc0MFAzTTFMaER4RWpSY1ppUUtBdkNwbnhXd2lIY3BhbG1a?oc=5" TargetMode="External"/><Relationship Id="rId15" Type="http://schemas.openxmlformats.org/officeDocument/2006/relationships/hyperlink" Target="https://www.aspistrategist.org.au/2026-defence-budget-a17-4-billion-in-spending-uplift-still-undecided/" TargetMode="External"/><Relationship Id="rId16" Type="http://schemas.openxmlformats.org/officeDocument/2006/relationships/hyperlink" Target="https://news.google.com/rss/articles/CBMiYEFVX3lxTE5CMG9xUFBFLU1tRmhtMXZoVkZ4TldwTkR2RFppX3R4Y3JDci03Rjd2bWd1UUZxWllNYXk1Mi1ENEF0U2UzblZPMERCdDZCdnhSWDBpc1JxcVhBM0pCalh6Qg?oc=5" TargetMode="External"/><Relationship Id="rId17" Type="http://schemas.openxmlformats.org/officeDocument/2006/relationships/hyperlink" Target="https://news.google.com/rss/articles/CBMipwFBVV95cUxNRkdBVEdNRG1jMWhXYzRKazZuaFJGNlROdGk3T0x5UUJSM1ZzeGVJb1Y0cDBGUkZEVVRtUFVNYnlHbHdTV2wwR0tiUHlSRVVmbjB5Y01LMDlmYnU1MkkxdFhSNzRfMHUxOEo2cmhnUXV1WUJrYWlmSHZpOUNaTE9BQkEyTmphakVsd2dfbzJlQjlIaWFzQ3lTWmxGWjJiZnpRTTNvT3haVQ?oc=5" TargetMode="External"/><Relationship Id="rId18" Type="http://schemas.openxmlformats.org/officeDocument/2006/relationships/hyperlink" Target="https://news.google.com/rss/articles/CBMiygFBVV95cUxQWndZd0x6dU1SUUJXbzFSZ2lfM2MwNlpuWk9CYVI0eDBRUHVzLThIUjNpTW9najdLN05RX2dJd2tKTVJDRGM0c3lNcGlFbVhYTS1BMG5mMFYxb2swaEVjT25ZcWJyM1NobVA3d1JxS0ZTcnpBWXlzZDdoRW5pd05pM3U0aTN6WVZnVEx2cEV4eS15UUlscWtSNEtUVzhQMjVrZDhYTmVnUFFya3RGN3BhRGZQUHI2V1cyMW45bHBHWXVMX0xHeTBqN2Zn?oc=5" TargetMode="External"/><Relationship Id="rId19" Type="http://schemas.openxmlformats.org/officeDocument/2006/relationships/hyperlink" Target="https://news.google.com/rss/articles/CBMirgFBVV95cUxOdmV6WmVxQW9ILS01aWdJZGNXM0toN1JxS0JoN3FnRHA1UUt2SVdpRzU5N3FFQUQ3SUNyVFdHUlVsVjF2SnF2c3RoM0MtdHpjREJINkRwaXo5TDRtS3p1eE11ci1lZGlVNnEtMmJtdzF0TmZaYXh0WXdycG1vSHoxbkZCOUJ5RklqMEotMDUtR0Y5ZGx2RmFadEE1VDg0RVI3TnJ2OWFPOEFLTlhHZEE?oc=5" TargetMode="External"/><Relationship Id="rId20" Type="http://schemas.openxmlformats.org/officeDocument/2006/relationships/hyperlink" Target="https://news.google.com/rss/articles/CBMitAFBVV95cUxNQ05ERE53ODA3bWNoYjRhVHlQbUEyQm5DY3F0VDM2UzE2bS1kak5VMmxSRWZXSWp5eVBQQ3NPNnBaQi0tNnl0b0Y3eVl2YW9SOXp2TDFPVkhiN0VmMHJjVUVjZ2hvandlVEt1bWZ3b2xiNU91QzBBOXkySjhFVkY1YTFFa3kxd05EWGNRTFRsY3RBZ0IwejVtMFpsSGI3X05YNzRvRW5xbGw5dldFRC1ueVFOS2k?oc=5" TargetMode="External"/><Relationship Id="rId21" Type="http://schemas.openxmlformats.org/officeDocument/2006/relationships/hyperlink" Target="https://news.google.com/rss/articles/CBMixwFBVV95cUxQc0thV3hTUkJVQzdzRTZuMXNJWHlRUDgzVXZjSlY2ekJReVlSWEkzWllfRWYzajQ5dDRIYlJaZDFVSjBORkRheHdQMWNIQVI3RlFsNW5vYkhXVDl6eWFBWUVQcmFCUjBJTXZQVUpFRXA1SGQ0dFZPQlB0UEtJd0UwMzhudUFXRjNhdmE5VjJObWswdVM5WUxCdDFPN2NEU1RUb05QcUVZNEdWT3dYQ05EQ2RmSXpfdjl4cGJfcWlaSmhaUzRkTm1B?oc=5" TargetMode="External"/><Relationship Id="rId22" Type="http://schemas.openxmlformats.org/officeDocument/2006/relationships/hyperlink" Target="https://www.epa.vic.gov.au/about-epa/news-media-and-updates/news-and-media/supreme-court-upholds-epa-landfill-levy-argument" TargetMode="External"/><Relationship Id="rId23" Type="http://schemas.openxmlformats.org/officeDocument/2006/relationships/hyperlink" Target="https://www.epa.vic.gov.au/about-epa/news-media-and-updates/news-and-media/epa-blitz-on-rogue-skip-bin-operators" TargetMode="External"/><Relationship Id="rId24" Type="http://schemas.openxmlformats.org/officeDocument/2006/relationships/hyperlink" Target="https://www.vba.vic.gov.au/about/news/ncc-2025-amended-variations" TargetMode="External"/><Relationship Id="rId25" Type="http://schemas.openxmlformats.org/officeDocument/2006/relationships/hyperlink" Target="https://mlex.com/mlex/articles/2362000/australia-s-antitrust-watchdog-welcomes-a-67-7m-enforcement-funding-boost" TargetMode="External"/><Relationship Id="rId26" Type="http://schemas.openxmlformats.org/officeDocument/2006/relationships/hyperlink" Target="https://www.aer.gov.au/news/articles/communications/aer-releases-inaugural-report-wholesale-gas-market-performance" TargetMode="External"/><Relationship Id="rId27" Type="http://schemas.openxmlformats.org/officeDocument/2006/relationships/hyperlink" Target="https://www.theguardian.com/australia-news/2026/may/14/australians-will-need-to-exhaust-all-appropriate-treatment-options-to-access-ndis-under-proposed-rules" TargetMode="External"/><Relationship Id="rId28" Type="http://schemas.openxmlformats.org/officeDocument/2006/relationships/hyperlink" Target="https://www.insurancebusinessmag.com/au/news/breaking-news/sira-sets-twoyear-timeline-to-reshape-nsw-injury-health-provider-rules" TargetMode="External"/><Relationship Id="rId29" Type="http://schemas.openxmlformats.org/officeDocument/2006/relationships/hyperlink" Target="https://www.themandarin.com.au/icac-nsw-pink-ops-hearings" TargetMode="External"/><Relationship Id="rId30" Type="http://schemas.openxmlformats.org/officeDocument/2006/relationships/hyperlink" Target="https://news.google.com/rss/articles/CBMiswFBVV95cUxQVENIZHZldnZVNEZCX1RZUzBVeF9CZWVZMjluTWNLblYwVVZUcjUyVTZidUlvME5OeTQ3NHNZTlRnb3VsQWhNYnppNC1mSV9mbFBveE5fR0JVaWMtaEFwUWNZQnJCbk9WSDF4cm9FaVFqdVI1ZzBZNWFoZXZpVDFKdUt1dVRGdXdNalVWa3ZqdzRzRmRhdW5tbW5HbE5JYi1jT01rLWIxQ3Y1bTJ3ZTRlTWpR?oc=5" TargetMode="External"/><Relationship Id="rId31" Type="http://schemas.openxmlformats.org/officeDocument/2006/relationships/hyperlink" Target="https://news.google.com/rss/articles/CBMiugFBVV95cUxPdnBRRThMaGZVQVkwdUNRYlRmYUMtLVltOUU4d09nWnV5T1dacERXbGVGRlhhX2w0N2dhWmU0TnJfS0tOUWtFRVI2d1VveVRUYU9sM3VXeExweFQtU3FGVHJtMEJWRS1talg1RXBxanYyWWtHMXQ4WG9mTXlzUTBFdFJadUtFU1REN3ZvS2FsMkNQUmd5cDBpR09YNDNOUTZJcVowVnM2aUxUVG1oX21ic1dHQVBlZTdGbWc?oc=5" TargetMode="External"/><Relationship Id="rId32" Type="http://schemas.openxmlformats.org/officeDocument/2006/relationships/hyperlink" Target="https://news.google.com/rss/articles/CBMidkFVX3lxTFAzaWZmWExZemlNcGU5cGpiOUVRR2NVNWdtdzBsX2tEWGtTZ3ZGeGlkNk1kQUY5eVZVR3VDUzNFY3ZyemFJeXIxai1BN3pLRzgwR011X2RvUkhLeFZmaURhNmNHRzU3R2MwMm55VERQTTlxOW0zNHc?oc=5" TargetMode="External"/><Relationship Id="rId33" Type="http://schemas.openxmlformats.org/officeDocument/2006/relationships/hyperlink" Target="https://news.google.com/rss/articles/CBMitwFBVV95cUxPSGJNY0pfWWtyVlZBb19Db0NUQ3lHT0ZnZEtuX2FrNi0zMWIwQjZsN0tBQnJzVU0xeEN1eXVBZXZnVzF2NWUwNDNQOXNJODVsNWRvYWQyMFAtNERkLUxNb21oQjdFS2VQT1JzLUNkRlYzQXBfcUpvNGlvSDJMQ2FvdmFlUjg5aG9Pc1p2RHdTdFVPSUtUY0J1N2lNNlVRTlo1b0JmTzg0Sk85c2ROODhFeGVSYkVoMVU?oc=5" TargetMode="External"/><Relationship Id="rId34" Type="http://schemas.openxmlformats.org/officeDocument/2006/relationships/hyperlink" Target="https://news.google.com/rss/articles/CBMi7wFBVV95cUxOX2I1V01UQ1pUUVRFLV9sc0U3OXdoTk04d2lCUWE2VzJoa3ppaTlrd2dvdDExN2tkamVMeUh3Mnh4dWFxamFtTWJFTmNzVkNOQm4xSkNJZmhfamhkZFgtVURHYlFRaEt2b0ZXVFVqUXFSTjJhMFlXcUsyU3dJTFd4ZWlVdUZ3OTgxUkdkbnNKdXZ2bUEwMWdzSGVBMVc5Z3RxUzZFeFBlWmplYmpxcWRyeDVUQnRhMXNEaXFLTGVudmtjdkY2VklReEN0N2VOOHdmSjZBdGNORlIzUG4tZTJUZ3diTDI5Q1JEVUYxZE8tYw?oc=5" TargetMode="External"/><Relationship Id="rId35" Type="http://schemas.openxmlformats.org/officeDocument/2006/relationships/hyperlink" Target="https://news.google.com/rss/articles/CBMimAFBVV95cUxPMktTeGw1NU9NYkFvLS1EdFFkOUZCWlBuUEIwMTlJYXI0UDB5c3FrXzNTemFHN3pIWEhubF9mR1B2bGtuRElWbmsyZEl1R2xGNkp0OHh5T1Bjc0lZejJLeVIwMEJlcUVhQ29PZ1FrcVNDWW5aNVhRLWxHTUNNdy1qTXU3WTMzOG95dmkxcHR0X3llRDhyU3liZA?oc=5" TargetMode="External"/><Relationship Id="rId36" Type="http://schemas.openxmlformats.org/officeDocument/2006/relationships/hyperlink" Target="https://news.google.com/rss/articles/CBMivAFBVV95cUxPVFZSWGhMMENaaHBhLWsydUppUHRlNDZXSzhvRWE1N05UR05RWGtBZWVVemY2dVBhMlM2OFpPaHZyUkZPR1VIcGZzSVRTODRmVkpVakU2dlo3THJlUDFPOThUNlUxS1ZKRTVoRklGbGFkcjdHQUoyV0w5eXpIZnV5bmdxX1liWU1LT2xNTHpPUk5pTm8tbjEtblY5YWpzRGMtU3RxZl9kZXFodGx0dEtNcmtnRlo5ejRNT1RYbw?oc=5" TargetMode="External"/><Relationship Id="rId37" Type="http://schemas.openxmlformats.org/officeDocument/2006/relationships/hyperlink" Target="https://news.google.com/rss/articles/CBMiqwFBVV95cUxNbkE3NzV5NzhCVTVZaWNNNHRjQ1RXNUFkdTUxUzJ1eXl1MkNTRk9uN2dsZ19DZk4welkwV0FxSXdGWDZGLWZHZG5RTE1iT0JEanRVU0VPcUMtdUVLUnlrdXFWbjJWQVZoNVhybEFpcDNja205a29tT1g0RTZtdHVaRzJ2eWtzdWRGYTZ6eHFFR3pXaEJMRTR3M0dRSy1IekJDcWNzczItMzJQRDA?oc=5" TargetMode="External"/><Relationship Id="rId38" Type="http://schemas.openxmlformats.org/officeDocument/2006/relationships/hyperlink" Target="https://news.google.com/rss/articles/CBMiogFBVV95cUxPM3h5NVhwc1BxQmNCWFJlYlEwVzcyVEV3V1ZTaXpZV09DV0hqakVBUEpINW5yM1k1WjZ1LXhRTmE0b3lseFpXMkhKZXBrS0JjSFRYbVFVcDFoZzNuZE1ucUtza3RwbXVEMkcyVUExTjVHNnd1RmVidk85dE0tRGtmZUx4TFpnUTNWZHQyalEyYWllMDg0eVF1SnByTXZNZm1SMUE?oc=5" TargetMode="External"/><Relationship Id="rId39" Type="http://schemas.openxmlformats.org/officeDocument/2006/relationships/hyperlink" Target="https://news.google.com/rss/articles/CBMipwFBVV95cUxNRlpzb3Q4YTBkVDh2c0tiUmU5TnZaSGpfbWwyX0FpT2NEd3F3ZXdOLTgteFVXZ094aEdWd1NUMkRMSjU2NGxiOEdhbEk0emxadW92MGR3MENYTnhXa0o0ZWtkbl8xSjcybllSMFNveDFsOFh5ellfWnEtbTFFYy1jMHhrQjFyNUpnSDk1VFhUTFRjUWx5Q1FnUU0tN2xWeWZXSW9rOV82Zw?oc=5" TargetMode="External"/><Relationship Id="rId40" Type="http://schemas.openxmlformats.org/officeDocument/2006/relationships/hyperlink" Target="https://www.aicd.com.au/membership/events/boards-and-regulators-lunch-sydney-2026.html" TargetMode="External"/><Relationship Id="rId41" Type="http://schemas.openxmlformats.org/officeDocument/2006/relationships/hyperlink" Target="https://www.apra.gov.au/events/all-actuaries-summit-2026" TargetMode="External"/><Relationship Id="rId42" Type="http://schemas.openxmlformats.org/officeDocument/2006/relationships/hyperlink" Target="https://www.cyber.vic.gov.au/events/industry-briefing-melbourne-june-2026" TargetMode="External"/><Relationship Id="rId4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