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4615200" cy="2483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-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200" cy="2483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KPMG Regulatory Transformation Fortnightly Brief - 9-22 October 2026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Regulatory Transformation Community of Practice - Fortnightly Brief</w:t>
      </w:r>
    </w:p>
    <w:p>
      <w:pPr>
        <w:pStyle w:val="body_letter"/>
      </w:pPr>
      <w:r>
        <w:rPr>
          <w:rFonts w:ascii="Arial" w:hAnsi="Arial"/>
          <w:color w:val="666666"/>
          <w:sz w:val="19"/>
        </w:rPr>
        <w:t>22 October 2026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Key messages from Adam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[edit before send], Adam's 3-sentence key messages will prefill from the dashboard synthesis on the next fortnightly run. Type your replacement here.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Regulators in the news (this fortnight)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regulator-in-news signal this fortnight, see Themes below.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Our clients in the news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client-in-news signal this fortnight across any jurisdiction.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Regulatory Transformation: navigating emerging risks, driving AI adoption and reducing regulatory burden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Regulators are facing a shifting operating environment as technology, markets, environmental pressures and societal expectations evolve faster than traditional regulatory frameworks. Fragmented data and limited intelligence continue to make risk prioritisation difficult.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There is a growing opportunity to use advanced analytics to better target regulatory effort. Many regulators are still working to integrate data across systems, uplift analytical capability and embed insights into everyday decision-making.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AI adoption is also becoming a core regulatory transformation issue. Regulators are seeking to balance opportunities for automation and improved risk identification with the need to manage governance, transparency, bias, legal risk, privacy and public confidence.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At the same time, governments are under pressure to reduce red tape, make faster decisions and manage fiscal constraints. This is driving interest in regulatory consolidation, shared-service models and more consistent approaches to regulatory delivery, while maintaining fairness and strong outcomes.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Emerging risks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National EPA signals tougher EPBC enforcement approach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(as at 2026-10-22) Norton Rose Fulbright analyses the National EPA's proposed enforcement and restoration contribution framework under EPBC Act reforms, signalling materially higher liability…</w:t>
      </w:r>
      <w:r>
        <w:rPr>
          <w:rFonts w:ascii="Arial" w:hAnsi="Arial"/>
          <w:color w:val="000000"/>
          <w:sz w:val="19"/>
        </w:rPr>
        <w:t xml:space="preserve"> (</w:t>
      </w:r>
      <w:hyperlink r:id="rId10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Read more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Heritage law overhaul opens post-McPhillamys consultation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(as at 2026-10-22) The Albanese Government has launched consultation on overhauling Commonwealth heritage protection laws following the Federal Court's McPhillamys ruling, creating approval risk…</w:t>
      </w:r>
      <w:r>
        <w:rPr>
          <w:rFonts w:ascii="Arial" w:hAnsi="Arial"/>
          <w:color w:val="000000"/>
          <w:sz w:val="19"/>
        </w:rPr>
        <w:t xml:space="preserve"> (</w:t>
      </w:r>
      <w:hyperlink r:id="rId11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Read more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Uninsurable WHS fines converge with psychosocial enforcement push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(as at 2026-10-22) Workplace safety regulators are intensifying psychosocial risk enforcement alongside uninsurable penalties, raising the financial exposure for organisations that have not yet…</w:t>
      </w:r>
      <w:r>
        <w:rPr>
          <w:rFonts w:ascii="Arial" w:hAnsi="Arial"/>
          <w:color w:val="000000"/>
          <w:sz w:val="19"/>
        </w:rPr>
        <w:t xml:space="preserve"> (</w:t>
      </w:r>
      <w:hyperlink r:id="rId12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Read more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Safeguard Mechanism loophole leaves coal and gas expansions exposed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(as at 2026-10-22) ABC News reports a loophole allows new coal and gas expansions to bypass stricter Safeguard Mechanism obligations, increasing pressure on the Albanese Government to close the gap…</w:t>
      </w:r>
      <w:r>
        <w:rPr>
          <w:rFonts w:ascii="Arial" w:hAnsi="Arial"/>
          <w:color w:val="000000"/>
          <w:sz w:val="19"/>
        </w:rPr>
        <w:t xml:space="preserve"> (</w:t>
      </w:r>
      <w:hyperlink r:id="rId13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Read more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AI adoption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Tasmania EPA left uninformed on data centre generator scale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(as at 2026-10-22) Tasmania's EPA disclosed it was not told the full extent of Firmus's data centre generator plans, revealing a regulatory intelligence gap as AI-driven demand for data centre…</w:t>
      </w:r>
      <w:r>
        <w:rPr>
          <w:rFonts w:ascii="Arial" w:hAnsi="Arial"/>
          <w:color w:val="000000"/>
          <w:sz w:val="19"/>
        </w:rPr>
        <w:t xml:space="preserve"> (</w:t>
      </w:r>
      <w:hyperlink r:id="rId14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Read more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AFMA tests cross-border digital surveillance with Indonesia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(as at 2026-10-22) AFMA and Indonesian counterparts coordinated a Vessel Monitoring System pilot, using shared digital tracking data to close cross-border fisheries enforcement gaps and demonstrate…</w:t>
      </w:r>
      <w:r>
        <w:rPr>
          <w:rFonts w:ascii="Arial" w:hAnsi="Arial"/>
          <w:color w:val="000000"/>
          <w:sz w:val="19"/>
        </w:rPr>
        <w:t xml:space="preserve"> (</w:t>
      </w:r>
      <w:hyperlink r:id="rId15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Read more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Children's Commission tables data-driven evidence for regulatory action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(as at 2026-10-22) Victoria's Commission for Children and Young People presented analytics-grounded evidence in its annual report to drive policy and regulatory responses, illustrating how…</w:t>
      </w:r>
      <w:r>
        <w:rPr>
          <w:rFonts w:ascii="Arial" w:hAnsi="Arial"/>
          <w:color w:val="000000"/>
          <w:sz w:val="19"/>
        </w:rPr>
        <w:t xml:space="preserve"> (</w:t>
      </w:r>
      <w:hyperlink r:id="rId16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Read more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Regulatory burden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NSW building reforms move from legislation to implementation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(as at 2026-10-22) The Property Council has convened a member briefing on translating NSW's recent building legislative reforms into operational practice, signalling significant compliance…</w:t>
      </w:r>
      <w:r>
        <w:rPr>
          <w:rFonts w:ascii="Arial" w:hAnsi="Arial"/>
          <w:color w:val="000000"/>
          <w:sz w:val="19"/>
        </w:rPr>
        <w:t xml:space="preserve"> (</w:t>
      </w:r>
      <w:hyperlink r:id="rId17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Read more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ESC consults on Greater Western Water price determination delay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(as at 2026-10-22) Victoria's Essential Services Commission is seeking stakeholder feedback on Greater Western Water's request to defer its next price determination, raising questions about…</w:t>
      </w:r>
      <w:r>
        <w:rPr>
          <w:rFonts w:ascii="Arial" w:hAnsi="Arial"/>
          <w:color w:val="000000"/>
          <w:sz w:val="19"/>
        </w:rPr>
        <w:t xml:space="preserve"> (</w:t>
      </w:r>
      <w:hyperlink r:id="rId18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Read more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Australians could gain right to sue Big Tech under online safety push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(as at 2026-10-22) Proposed tougher online safety laws could give Australians direct rights to sue major technology platforms, extending regulatory burden on digital platforms and opening new…</w:t>
      </w:r>
      <w:r>
        <w:rPr>
          <w:rFonts w:ascii="Arial" w:hAnsi="Arial"/>
          <w:color w:val="000000"/>
          <w:sz w:val="19"/>
        </w:rPr>
        <w:t xml:space="preserve"> (</w:t>
      </w:r>
      <w:hyperlink r:id="rId19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Read more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Training, conferences, webinars &amp; in-person sessions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Citi A50 Australian Economic Forum 2026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23 Oct 2026 - APRA · Online</w:t>
      </w:r>
      <w:r>
        <w:rPr>
          <w:rFonts w:ascii="Arial" w:hAnsi="Arial"/>
          <w:color w:val="000000"/>
          <w:sz w:val="19"/>
        </w:rPr>
        <w:t xml:space="preserve"> (</w:t>
      </w:r>
      <w:hyperlink r:id="rId20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Register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AFR Super &amp;amp; Wealth Summit 2026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26 Oct 2026 - APRA · Online</w:t>
      </w:r>
      <w:r>
        <w:rPr>
          <w:rFonts w:ascii="Arial" w:hAnsi="Arial"/>
          <w:color w:val="000000"/>
          <w:sz w:val="19"/>
        </w:rPr>
        <w:t xml:space="preserve"> (</w:t>
      </w:r>
      <w:hyperlink r:id="rId21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Register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Financial Services and ASX Sector Assurance Forum 2026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27 Oct 2026 - APRA · Online</w:t>
      </w:r>
      <w:r>
        <w:rPr>
          <w:rFonts w:ascii="Arial" w:hAnsi="Arial"/>
          <w:color w:val="000000"/>
          <w:sz w:val="19"/>
        </w:rPr>
        <w:t xml:space="preserve"> (</w:t>
      </w:r>
      <w:hyperlink r:id="rId22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Register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AFSA Summit 2026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05 Nov 2026 - APRA · Online</w:t>
      </w:r>
      <w:r>
        <w:rPr>
          <w:rFonts w:ascii="Arial" w:hAnsi="Arial"/>
          <w:color w:val="000000"/>
          <w:sz w:val="19"/>
        </w:rPr>
        <w:t xml:space="preserve"> (</w:t>
      </w:r>
      <w:hyperlink r:id="rId23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Register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Insurance Council of Australia Annual Conference 2026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06 Nov 2026 - APRA · Online</w:t>
      </w:r>
      <w:r>
        <w:rPr>
          <w:rFonts w:ascii="Arial" w:hAnsi="Arial"/>
          <w:color w:val="000000"/>
          <w:sz w:val="19"/>
        </w:rPr>
        <w:t xml:space="preserve"> (</w:t>
      </w:r>
      <w:hyperlink r:id="rId24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Register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ASIC Annual Forum 2026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18 Nov 2026 - APRA · Online</w:t>
      </w:r>
      <w:r>
        <w:rPr>
          <w:rFonts w:ascii="Arial" w:hAnsi="Arial"/>
          <w:color w:val="000000"/>
          <w:sz w:val="19"/>
        </w:rPr>
        <w:t xml:space="preserve"> (</w:t>
      </w:r>
      <w:hyperlink r:id="rId25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Register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2026 ASFA Conference</w:t>
      </w:r>
      <w:r>
        <w:rPr>
          <w:rFonts w:ascii="Arial" w:hAnsi="Arial"/>
          <w:color w:val="000000"/>
          <w:sz w:val="19"/>
        </w:rPr>
        <w:t xml:space="preserve"> - </w:t>
      </w:r>
      <w:r>
        <w:rPr>
          <w:rFonts w:ascii="Arial" w:hAnsi="Arial"/>
          <w:color w:val="000000"/>
          <w:sz w:val="19"/>
        </w:rPr>
        <w:t>19 Nov 2026 - APRA · Online</w:t>
      </w:r>
      <w:r>
        <w:rPr>
          <w:rFonts w:ascii="Arial" w:hAnsi="Arial"/>
          <w:color w:val="000000"/>
          <w:sz w:val="19"/>
        </w:rPr>
        <w:t xml:space="preserve"> (</w:t>
      </w:r>
      <w:hyperlink r:id="rId26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Register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Cross-sector synthesis (hub-wide)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Business development priorities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Brief the relevant sector partner this fortnight on the highest-signal regulator development above.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Convene the capability bench for the next reg-tech / capability-review pursuit in pipeline.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Pursue at least one tracked client on a near-term advisory hook before the next CoP cadence.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Sector signals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sector-level synthesis available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Jurisdiction signals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jurisdiction-level synthesis available this fortnight.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937"/>
      </w:tblGrid>
      <w:tr>
        <w:tc>
          <w:tcPr>
            <w:tcW w:type="dxa" w:w="1417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19200" cy="7604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-adam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200" cy="7604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Adam Mason-Jefferies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i/>
                <w:color w:val="666666"/>
                <w:sz w:val="18"/>
              </w:rPr>
              <w:t>Director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color w:val="666666"/>
                <w:sz w:val="18"/>
              </w:rPr>
              <w:t>Regulatory Transformation Community of Practice</w:t>
            </w:r>
          </w:p>
        </w:tc>
      </w:tr>
    </w:tbl>
    <w:p>
      <w:pPr>
        <w:spacing w:after="0" w:line="240" w:lineRule="auto"/>
      </w:pPr>
      <w:r>
        <w:rPr>
          <w:rFonts w:ascii="Arial" w:hAnsi="Arial"/>
          <w:b/>
          <w:color w:val="666666"/>
          <w:sz w:val="16"/>
        </w:rPr>
        <w:t>For internal use only.</w:t>
      </w:r>
    </w:p>
    <w:p>
      <w:pPr>
        <w:spacing w:after="0" w:line="240" w:lineRule="auto"/>
      </w:pPr>
      <w:r>
        <w:rPr>
          <w:rFonts w:ascii="Arial" w:hAnsi="Arial"/>
          <w:color w:val="666666"/>
          <w:sz w:val="16"/>
        </w:rPr>
        <w:t>© 2026 KPMG, an Australian partnership and a member firm of the KPMG global organisation of independent member firms affiliated with KPMG International Limited, a private English company limited by guarantee. All rights reserved.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338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338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338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338D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_letter">
    <w:name w:val="body_letter"/>
    <w:basedOn w:val="Normal"/>
    <w:pPr>
      <w:spacing w:line="240" w:lineRule="auto" w:before="0" w:after="120"/>
      <w:ind w:firstLine="0"/>
    </w:pPr>
    <w:rPr>
      <w:rFonts w:ascii="Arial" w:hAnsi="Arial"/>
      <w:b w:val="0"/>
      <w:i w:val="0"/>
      <w:color w:val="000000"/>
      <w:sz w:val="19"/>
    </w:rPr>
  </w:style>
  <w:style w:type="paragraph" w:customStyle="1" w:styleId="subheading_letter">
    <w:name w:val="subheading_letter"/>
    <w:basedOn w:val="Normal"/>
    <w:pPr>
      <w:spacing w:before="160" w:after="80" w:line="240" w:lineRule="auto"/>
    </w:pPr>
    <w:rPr>
      <w:rFonts w:ascii="Arial" w:hAnsi="Arial"/>
      <w:b/>
      <w:i w:val="0"/>
      <w:color w:val="76D2FF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www.nortonrosefulbright.com/en-au/knowledge/publications/4a8ec6bb/epbc-act-reforms" TargetMode="External"/><Relationship Id="rId11" Type="http://schemas.openxmlformats.org/officeDocument/2006/relationships/hyperlink" Target="https://thewest.com.au/business/mining/albanese-government-to-start-consultation-on-heritage-laws-overhaul-in-wake-of-mcphillamys-ruling-c-23027849" TargetMode="External"/><Relationship Id="rId12" Type="http://schemas.openxmlformats.org/officeDocument/2006/relationships/hyperlink" Target="https://www.insurancebusinessmag.com/au/news/workers-compensation/uninsurable-whs-fines-meet-tougher-psychosocial-enforcement-594223.aspx" TargetMode="External"/><Relationship Id="rId13" Type="http://schemas.openxmlformats.org/officeDocument/2006/relationships/hyperlink" Target="https://www.abc.net.au/news/2026-10-13/safeguard-mechanism-loophole-coal-expansions/107246600" TargetMode="External"/><Relationship Id="rId14" Type="http://schemas.openxmlformats.org/officeDocument/2006/relationships/hyperlink" Target="https://www.abc.net.au/news/2026-10-10/firmus-generators-epa-appeal-watchdog/107247476" TargetMode="External"/><Relationship Id="rId15" Type="http://schemas.openxmlformats.org/officeDocument/2006/relationships/hyperlink" Target="https://www.afma.gov.au/news/australian-indonesia-vms-pilot-program-coordination-meeting" TargetMode="External"/><Relationship Id="rId16" Type="http://schemas.openxmlformats.org/officeDocument/2006/relationships/hyperlink" Target="https://ccyp.vic.gov.au/news/commission-presents-evidence-for-action-on-children-in-annual-report" TargetMode="External"/><Relationship Id="rId17" Type="http://schemas.openxmlformats.org/officeDocument/2006/relationships/hyperlink" Target="https://www.propertycouncil.com.au/event/free-exclusive-member-briefing-from-legislation-to-implementation-nsws-building-reforms-unpack" TargetMode="External"/><Relationship Id="rId18" Type="http://schemas.openxmlformats.org/officeDocument/2006/relationships/hyperlink" Target="https://www.esc.vic.gov.au/media-centre/commission-seeks-feedback-greater-western-waters-request-delay-setting-new-prices" TargetMode="External"/><Relationship Id="rId19" Type="http://schemas.openxmlformats.org/officeDocument/2006/relationships/hyperlink" Target="https://www.proactiveinvestors.com/companies/news/1099932/tech-report-australians-could-gain-right-to-sue-big-tech-under-tougher-online-safety-push-1099932.html" TargetMode="External"/><Relationship Id="rId20" Type="http://schemas.openxmlformats.org/officeDocument/2006/relationships/hyperlink" Target="https://www.apra.gov.au/news-and-publications/events/citi-a50-australian-economic-forum-2026" TargetMode="External"/><Relationship Id="rId21" Type="http://schemas.openxmlformats.org/officeDocument/2006/relationships/hyperlink" Target="https://www.apra.gov.au/news-and-publications/events/afr-super-wealth-summit-2026" TargetMode="External"/><Relationship Id="rId22" Type="http://schemas.openxmlformats.org/officeDocument/2006/relationships/hyperlink" Target="https://www.apra.gov.au/news-and-publications/events/financial-services-and-asx-sector-assurance-forum-2026" TargetMode="External"/><Relationship Id="rId23" Type="http://schemas.openxmlformats.org/officeDocument/2006/relationships/hyperlink" Target="https://www.apra.gov.au/news-and-publications/events/afsa-summit-2026" TargetMode="External"/><Relationship Id="rId24" Type="http://schemas.openxmlformats.org/officeDocument/2006/relationships/hyperlink" Target="https://www.apra.gov.au/news-and-publications/events/insurance-council-australia-annual-conference-2026" TargetMode="External"/><Relationship Id="rId25" Type="http://schemas.openxmlformats.org/officeDocument/2006/relationships/hyperlink" Target="https://www.apra.gov.au/news-and-publications/events/asic-annual-forum-2026" TargetMode="External"/><Relationship Id="rId26" Type="http://schemas.openxmlformats.org/officeDocument/2006/relationships/hyperlink" Target="https://www.apra.gov.au/news-and-publications/events/2026-asfa-conference" TargetMode="External"/><Relationship Id="rId2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