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drawing>
          <wp:inline xmlns:a="http://schemas.openxmlformats.org/drawingml/2006/main" xmlns:pic="http://schemas.openxmlformats.org/drawingml/2006/picture">
            <wp:extent cx="4615200" cy="2483516"/>
            <wp:docPr id="1" name="Picture 1"/>
            <wp:cNvGraphicFramePr>
              <a:graphicFrameLocks noChangeAspect="1"/>
            </wp:cNvGraphicFramePr>
            <a:graphic>
              <a:graphicData uri="http://schemas.openxmlformats.org/drawingml/2006/picture">
                <pic:pic>
                  <pic:nvPicPr>
                    <pic:cNvPr id="0" name="hero-banner.png"/>
                    <pic:cNvPicPr/>
                  </pic:nvPicPr>
                  <pic:blipFill>
                    <a:blip r:embed="rId9"/>
                    <a:stretch>
                      <a:fillRect/>
                    </a:stretch>
                  </pic:blipFill>
                  <pic:spPr>
                    <a:xfrm>
                      <a:off x="0" y="0"/>
                      <a:ext cx="4615200" cy="2483516"/>
                    </a:xfrm>
                    <a:prstGeom prst="rect"/>
                  </pic:spPr>
                </pic:pic>
              </a:graphicData>
            </a:graphic>
          </wp:inline>
        </w:drawing>
      </w:r>
    </w:p>
    <w:p>
      <w:pPr>
        <w:pStyle w:val="Heading1"/>
      </w:pPr>
      <w:r>
        <w:t>KPMG Regulatory Transformation Fortnightly Brief - 2-15 July 2026</w:t>
      </w:r>
    </w:p>
    <w:p>
      <w:pPr>
        <w:pStyle w:val="body_letter"/>
      </w:pPr>
      <w:r>
        <w:rPr>
          <w:rFonts w:ascii="Arial" w:hAnsi="Arial"/>
          <w:i/>
          <w:color w:val="666666"/>
          <w:sz w:val="19"/>
        </w:rPr>
        <w:t>Regulatory Transformation Community of Practice - Fortnightly Brief</w:t>
      </w:r>
    </w:p>
    <w:p>
      <w:pPr>
        <w:pStyle w:val="body_letter"/>
      </w:pPr>
      <w:r>
        <w:rPr>
          <w:rFonts w:ascii="Arial" w:hAnsi="Arial"/>
          <w:color w:val="666666"/>
          <w:sz w:val="19"/>
        </w:rPr>
        <w:t>15 July 2026</w:t>
      </w:r>
    </w:p>
    <w:p>
      <w:pPr>
        <w:pStyle w:val="subheading_letter"/>
      </w:pPr>
      <w:r>
        <w:rPr>
          <w:rFonts w:ascii="Arial" w:hAnsi="Arial"/>
          <w:b/>
          <w:color w:val="76D2FF"/>
          <w:sz w:val="21"/>
        </w:rPr>
        <w:t>Key messages from Adam</w:t>
      </w:r>
    </w:p>
    <w:p>
      <w:pPr>
        <w:pStyle w:val="body_letter"/>
      </w:pPr>
      <w:r>
        <w:rPr>
          <w:rFonts w:ascii="Arial" w:hAnsi="Arial"/>
          <w:b w:val="0"/>
          <w:color w:val="000000"/>
          <w:sz w:val="19"/>
        </w:rPr>
        <w:t>This fortnight, the Australian regulatory landscape is being shaped by converging pressures across energy access arrangements, environmental agency reform, and the intersection of geopolitical risk with financial stability, with regulators and governments navigating fiscal constraints and escalating national security commitments, including the landmark AUKUS Pillar II signature project and a record $2.5 billion radar export deal, that are accelerating demand for integrated, cross-portfolio regulatory responses. The single greatest advisory opportunity for us lies in the geopolitical-financial stability nexus: as the RBA's June 2026 Bulletin confirms systemic exposure to geopolitical risk, our clients in financial services, energy, and defence-adjacent sectors face a convergence of regulatory obligations that existing frameworks are not equipped to manage cohesively, and we are positioned to lead that synthesis. Convene a targeted roundtable for partners across Financial Services, Energy and Infrastructure, and National Security advisory to align our go-to-market response to the AUKUS capability build-out and the new National Environmental Protection Agency, and develop a coordinated client engagement approach before the September budget cycle locks departmental priorities.</w:t>
      </w:r>
    </w:p>
    <w:p>
      <w:pPr>
        <w:pStyle w:val="subheading_letter"/>
      </w:pPr>
      <w:r>
        <w:rPr>
          <w:rFonts w:ascii="Arial" w:hAnsi="Arial"/>
          <w:b/>
          <w:color w:val="76D2FF"/>
          <w:sz w:val="21"/>
        </w:rPr>
        <w:t>Regulators in the news (this fortnight)</w:t>
      </w:r>
    </w:p>
    <w:p>
      <w:pPr>
        <w:pStyle w:val="body_letter"/>
      </w:pPr>
      <w:r>
        <w:rPr>
          <w:rFonts w:ascii="Arial" w:hAnsi="Arial"/>
          <w:i/>
          <w:color w:val="666666"/>
          <w:sz w:val="19"/>
        </w:rPr>
        <w:t>No regulator-in-news signal this fortnight, see Themes below.</w:t>
      </w:r>
    </w:p>
    <w:p>
      <w:pPr>
        <w:pStyle w:val="subheading_letter"/>
      </w:pPr>
      <w:r>
        <w:rPr>
          <w:rFonts w:ascii="Arial" w:hAnsi="Arial"/>
          <w:b/>
          <w:color w:val="76D2FF"/>
          <w:sz w:val="21"/>
        </w:rPr>
        <w:t>Our clients in the news</w:t>
      </w:r>
    </w:p>
    <w:p>
      <w:pPr>
        <w:pStyle w:val="body_letter"/>
      </w:pPr>
      <w:r>
        <w:rPr>
          <w:rFonts w:ascii="Arial" w:hAnsi="Arial"/>
          <w:i/>
          <w:color w:val="666666"/>
          <w:sz w:val="19"/>
        </w:rPr>
        <w:t>No client-in-news signal this fortnight across any jurisdiction.</w:t>
      </w:r>
    </w:p>
    <w:p>
      <w:pPr>
        <w:pStyle w:val="subheading_letter"/>
      </w:pPr>
      <w:r>
        <w:rPr>
          <w:rFonts w:ascii="Arial" w:hAnsi="Arial"/>
          <w:b/>
          <w:color w:val="76D2FF"/>
          <w:sz w:val="21"/>
        </w:rPr>
        <w:t>Regulatory Transformation: navigating emerging risks, driving AI adoption and reducing regulatory burden</w:t>
      </w:r>
    </w:p>
    <w:p>
      <w:pPr>
        <w:pStyle w:val="body_letter"/>
      </w:pPr>
      <w:r>
        <w:rPr>
          <w:rFonts w:ascii="Arial" w:hAnsi="Arial"/>
          <w:b w:val="0"/>
          <w:color w:val="000000"/>
          <w:sz w:val="19"/>
        </w:rPr>
        <w:t>Regulators are facing a shifting operating environment as technology, markets, environmental pressures and societal expectations evolve faster than traditional regulatory frameworks. Fragmented data and limited intelligence continue to make risk prioritisation difficult.</w:t>
      </w:r>
    </w:p>
    <w:p>
      <w:pPr>
        <w:pStyle w:val="body_letter"/>
      </w:pPr>
      <w:r>
        <w:rPr>
          <w:rFonts w:ascii="Arial" w:hAnsi="Arial"/>
          <w:b w:val="0"/>
          <w:color w:val="000000"/>
          <w:sz w:val="19"/>
        </w:rPr>
        <w:t>There is a growing opportunity to use advanced analytics to better target regulatory effort. Many regulators are still working to integrate data across systems, uplift analytical capability and embed insights into everyday decision-making.</w:t>
      </w:r>
    </w:p>
    <w:p>
      <w:pPr>
        <w:pStyle w:val="body_letter"/>
      </w:pPr>
      <w:r>
        <w:rPr>
          <w:rFonts w:ascii="Arial" w:hAnsi="Arial"/>
          <w:b w:val="0"/>
          <w:color w:val="000000"/>
          <w:sz w:val="19"/>
        </w:rPr>
        <w:t>AI adoption is also becoming a core regulatory transformation issue. Regulators are seeking to balance opportunities for automation and improved risk identification with the need to manage governance, transparency, bias, legal risk, privacy and public confidence.</w:t>
      </w:r>
    </w:p>
    <w:p>
      <w:pPr>
        <w:pStyle w:val="body_letter"/>
      </w:pPr>
      <w:r>
        <w:rPr>
          <w:rFonts w:ascii="Arial" w:hAnsi="Arial"/>
          <w:b w:val="0"/>
          <w:color w:val="000000"/>
          <w:sz w:val="19"/>
        </w:rPr>
        <w:t>At the same time, governments are under pressure to reduce red tape, make faster decisions and manage fiscal constraints. This is driving interest in regulatory consolidation, shared-service models and more consistent approaches to regulatory delivery, while maintaining fairness and strong outcomes.</w:t>
      </w:r>
    </w:p>
    <w:p>
      <w:pPr>
        <w:pStyle w:val="body_letter"/>
      </w:pPr>
      <w:r>
        <w:rPr>
          <w:rFonts w:ascii="Arial" w:hAnsi="Arial"/>
          <w:b/>
          <w:color w:val="000000"/>
          <w:sz w:val="19"/>
        </w:rPr>
        <w:t>Emerging risks</w:t>
      </w:r>
    </w:p>
    <w:p>
      <w:pPr>
        <w:pStyle w:val="body_letter"/>
      </w:pPr>
      <w:r>
        <w:rPr>
          <w:rFonts w:ascii="Arial" w:hAnsi="Arial"/>
          <w:i/>
          <w:color w:val="666666"/>
          <w:sz w:val="19"/>
        </w:rPr>
        <w:t>No emerging risks signal this fortnight.</w:t>
      </w:r>
    </w:p>
    <w:p>
      <w:pPr>
        <w:pStyle w:val="body_letter"/>
      </w:pPr>
      <w:r>
        <w:rPr>
          <w:rFonts w:ascii="Arial" w:hAnsi="Arial"/>
          <w:b/>
          <w:color w:val="000000"/>
          <w:sz w:val="19"/>
        </w:rPr>
        <w:t>AI adoption</w:t>
      </w:r>
    </w:p>
    <w:p>
      <w:pPr>
        <w:pStyle w:val="body_letter"/>
      </w:pPr>
      <w:r>
        <w:rPr>
          <w:rFonts w:ascii="Arial" w:hAnsi="Arial"/>
          <w:i/>
          <w:color w:val="666666"/>
          <w:sz w:val="19"/>
        </w:rPr>
        <w:t>No ai adoption signal this fortnight.</w:t>
      </w:r>
    </w:p>
    <w:p>
      <w:pPr>
        <w:pStyle w:val="body_letter"/>
      </w:pPr>
      <w:r>
        <w:rPr>
          <w:rFonts w:ascii="Arial" w:hAnsi="Arial"/>
          <w:b/>
          <w:color w:val="000000"/>
          <w:sz w:val="19"/>
        </w:rPr>
        <w:t>Regulatory burden</w:t>
      </w:r>
    </w:p>
    <w:p>
      <w:pPr>
        <w:pStyle w:val="body_letter"/>
      </w:pPr>
      <w:r>
        <w:rPr>
          <w:rFonts w:ascii="Arial" w:hAnsi="Arial"/>
          <w:i/>
          <w:color w:val="666666"/>
          <w:sz w:val="19"/>
        </w:rPr>
        <w:t>No regulatory burden signal this fortnight.</w:t>
      </w:r>
    </w:p>
    <w:p>
      <w:pPr>
        <w:pStyle w:val="subheading_letter"/>
      </w:pPr>
      <w:r>
        <w:rPr>
          <w:rFonts w:ascii="Arial" w:hAnsi="Arial"/>
          <w:b/>
          <w:color w:val="76D2FF"/>
          <w:sz w:val="21"/>
        </w:rPr>
        <w:t>Training, conferences, webinars &amp; in-person sessions</w:t>
      </w:r>
    </w:p>
    <w:p>
      <w:pPr>
        <w:pStyle w:val="ListBullet"/>
      </w:pPr>
      <w:r>
        <w:rPr>
          <w:rFonts w:ascii="Arial" w:hAnsi="Arial"/>
          <w:b/>
          <w:color w:val="000000"/>
          <w:sz w:val="19"/>
        </w:rPr>
        <w:t>KPMG Regulatory Practice Masterclass, RT CoP</w:t>
      </w:r>
      <w:r>
        <w:rPr>
          <w:rFonts w:ascii="Arial" w:hAnsi="Arial"/>
          <w:color w:val="000000"/>
          <w:sz w:val="19"/>
        </w:rPr>
        <w:t xml:space="preserve"> - </w:t>
      </w:r>
      <w:r>
        <w:rPr>
          <w:rFonts w:ascii="Arial" w:hAnsi="Arial"/>
          <w:color w:val="000000"/>
          <w:sz w:val="19"/>
        </w:rPr>
        <w:t>23 Jul 2026 - KPMG · Online</w:t>
      </w:r>
    </w:p>
    <w:p>
      <w:pPr>
        <w:pStyle w:val="subheading_letter"/>
      </w:pPr>
      <w:r>
        <w:rPr>
          <w:rFonts w:ascii="Arial" w:hAnsi="Arial"/>
          <w:b/>
          <w:color w:val="76D2FF"/>
          <w:sz w:val="21"/>
        </w:rPr>
        <w:t>Cross-sector synthesis (hub-wide)</w:t>
      </w:r>
    </w:p>
    <w:p>
      <w:pPr>
        <w:pStyle w:val="body_letter"/>
      </w:pPr>
      <w:r>
        <w:rPr>
          <w:rFonts w:ascii="Arial" w:hAnsi="Arial"/>
          <w:b w:val="0"/>
          <w:color w:val="000000"/>
          <w:sz w:val="19"/>
        </w:rPr>
        <w:t>This fortnight's dominant enforcement signal is AUSTRAC's concurrent enforceable undertakings against bet365 and Sportsbet, landing in the same week Tranche 2 AML/CTF obligations formally commence for real estate agents, accountants, and lawyers, a compressed, multi-sector compliance remediation market that KPMG's financial crime and regulatory bench must convert within days, not weeks. Commonwealth Finance's release of RMG 140 and its companion guidance, alongside the launch of Australia's first independent national EPA, simultaneously activate two new mandate-driven compliance obligations where KPMG's governance design, assurance, and capability-uplift offering has direct and immediate application across federal entities and the resources sector. The AER's 2028-33 regulatory determination cycle is generating live proceedings, Transgrid's expenditure forecasting methodology submission and contested gas access arrangements for AusNet and Multinet, where KPMG's regulatory economics bench has a concrete, time-limited submission-support opportunity. On the Defence and national security front, AUKUS Pillar II's first signature project, Australia's record $2.5B radar export to Canada, and the Omni-Samarkand nuclear partnership collectively signal accelerating Commonwealth capital allocation into sovereign capability domains, opening technology governance, program assurance, and export-controls advisory mandates that the firm must move on before incumbents consolidate position. ACIC's consolidation of national policing data into NCIS and AFSA's new Fraud and Corruption Control Plan 2026-28 represent structured Commonwealth capability-build cycles suited to external design and analytics support that the public sector bench should be pursuing now. Partners must flag that KPMG's disclosed suspension from several state government tender processes, reported to the US PCAOB, requires immediate partner-level triage of the affected state-client roster; no new state-government pursuit or proposal should be activated until that triage is complete.</w:t>
      </w:r>
    </w:p>
    <w:p>
      <w:pPr>
        <w:pStyle w:val="body_letter"/>
      </w:pPr>
      <w:r>
        <w:rPr>
          <w:rFonts w:ascii="Arial" w:hAnsi="Arial"/>
          <w:b/>
          <w:color w:val="000000"/>
          <w:sz w:val="19"/>
        </w:rPr>
        <w:t>Business development priorities</w:t>
      </w:r>
    </w:p>
    <w:p>
      <w:pPr>
        <w:pStyle w:val="ListBullet"/>
      </w:pPr>
      <w:r>
        <w:rPr>
          <w:rFonts w:ascii="Arial" w:hAnsi="Arial"/>
          <w:color w:val="000000"/>
          <w:sz w:val="19"/>
        </w:rPr>
        <w:t>Activate the financial crime bench against bet365 and Sportsbet this week, both enforceable undertakings require independent compliance-program overhaul, creating immediate remediation, uplift, and assurance mandates before other firms embed.</w:t>
      </w:r>
    </w:p>
    <w:p>
      <w:pPr>
        <w:pStyle w:val="ListBullet"/>
      </w:pPr>
      <w:r>
        <w:rPr>
          <w:rFonts w:ascii="Arial" w:hAnsi="Arial"/>
          <w:color w:val="000000"/>
          <w:sz w:val="19"/>
        </w:rPr>
        <w:t>Launch a targeted Tranche 2 AML/CTF campaign to real estate agents, accountancy firms, and law practices this fortnight, leading with a rapid compliance-readiness diagnostic positioned ahead of AUSTRAC's first enforcement actions in the sector.</w:t>
      </w:r>
    </w:p>
    <w:p>
      <w:pPr>
        <w:pStyle w:val="ListBullet"/>
      </w:pPr>
      <w:r>
        <w:rPr>
          <w:rFonts w:ascii="Arial" w:hAnsi="Arial"/>
          <w:color w:val="000000"/>
          <w:sz w:val="19"/>
        </w:rPr>
        <w:t>Deploy regulatory economics partners to Transgrid, AusNet, and Multinet immediately to offer submission-support and benchmarking capability ahead of their 2028-33 AER determination deadlines.</w:t>
      </w:r>
    </w:p>
    <w:p>
      <w:pPr>
        <w:pStyle w:val="ListBullet"/>
      </w:pPr>
      <w:r>
        <w:rPr>
          <w:rFonts w:ascii="Arial" w:hAnsi="Arial"/>
          <w:color w:val="000000"/>
          <w:sz w:val="19"/>
        </w:rPr>
        <w:t>Convene the Defence advisory and technology risk team to develop a sovereign capability and export-controls offering anchored to the AUKUS Pillar II signature project and the $2.5B radar export precedent, targeting a partner-level briefing to Defence clients within two weeks.</w:t>
      </w:r>
    </w:p>
    <w:p>
      <w:pPr>
        <w:pStyle w:val="ListBullet"/>
      </w:pPr>
      <w:r>
        <w:rPr>
          <w:rFonts w:ascii="Arial" w:hAnsi="Arial"/>
          <w:color w:val="000000"/>
          <w:sz w:val="19"/>
        </w:rPr>
        <w:t>Build and take to market a Commonwealth climate disclosure rapid-assessment product against RMG 140, prioritising Finance panel clients with near-term compliance deadlines before competitors frame the offering.</w:t>
      </w:r>
    </w:p>
    <w:p>
      <w:pPr>
        <w:pStyle w:val="body_letter"/>
      </w:pPr>
      <w:r>
        <w:rPr>
          <w:rFonts w:ascii="Arial" w:hAnsi="Arial"/>
          <w:b/>
          <w:color w:val="000000"/>
          <w:sz w:val="19"/>
        </w:rPr>
        <w:t>Implications for clients</w:t>
      </w:r>
    </w:p>
    <w:p>
      <w:pPr>
        <w:pStyle w:val="ListBullet"/>
      </w:pPr>
      <w:r>
        <w:rPr>
          <w:rFonts w:ascii="Arial" w:hAnsi="Arial"/>
          <w:color w:val="000000"/>
          <w:sz w:val="19"/>
        </w:rPr>
        <w:t>Activate the financial crime bench against bet365 and Sportsbet this week, both enforceable undertakings require independent compliance-program overhaul, creating immediate remediation, uplift, and assurance mandates before other firms embed.</w:t>
      </w:r>
    </w:p>
    <w:p>
      <w:pPr>
        <w:pStyle w:val="ListBullet"/>
      </w:pPr>
      <w:r>
        <w:rPr>
          <w:rFonts w:ascii="Arial" w:hAnsi="Arial"/>
          <w:color w:val="000000"/>
          <w:sz w:val="19"/>
        </w:rPr>
        <w:t>Launch a targeted Tranche 2 AML/CTF campaign to real estate agents, accountancy firms, and law practices this fortnight, leading with a rapid compliance-readiness diagnostic positioned ahead of AUSTRAC's first enforcement actions in the sector.</w:t>
      </w:r>
    </w:p>
    <w:p>
      <w:pPr>
        <w:pStyle w:val="ListBullet"/>
      </w:pPr>
      <w:r>
        <w:rPr>
          <w:rFonts w:ascii="Arial" w:hAnsi="Arial"/>
          <w:color w:val="000000"/>
          <w:sz w:val="19"/>
        </w:rPr>
        <w:t>Deploy regulatory economics partners to Transgrid, AusNet, and Multinet immediately to offer submission-support and benchmarking capability ahead of their 2028-33 AER determination deadlines.</w:t>
      </w:r>
    </w:p>
    <w:p>
      <w:pPr>
        <w:pStyle w:val="ListBullet"/>
      </w:pPr>
      <w:r>
        <w:rPr>
          <w:rFonts w:ascii="Arial" w:hAnsi="Arial"/>
          <w:color w:val="000000"/>
          <w:sz w:val="19"/>
        </w:rPr>
        <w:t>Convene the Defence advisory and technology risk team to develop a sovereign capability and export-controls offering anchored to the AUKUS Pillar II signature project and the $2.5B radar export precedent, targeting a partner-level briefing to Defence clients within two weeks.</w:t>
      </w:r>
    </w:p>
    <w:p>
      <w:pPr>
        <w:pStyle w:val="ListBullet"/>
      </w:pPr>
      <w:r>
        <w:rPr>
          <w:rFonts w:ascii="Arial" w:hAnsi="Arial"/>
          <w:color w:val="000000"/>
          <w:sz w:val="19"/>
        </w:rPr>
        <w:t>Build and take to market a Commonwealth climate disclosure rapid-assessment product against RMG 140, prioritising Finance panel clients with near-term compliance deadlines before competitors frame the offering.</w:t>
      </w:r>
    </w:p>
    <w:p>
      <w:pPr>
        <w:pStyle w:val="subheading_letter"/>
      </w:pPr>
      <w:r>
        <w:rPr>
          <w:rFonts w:ascii="Arial" w:hAnsi="Arial"/>
          <w:b/>
          <w:color w:val="76D2FF"/>
          <w:sz w:val="21"/>
        </w:rPr>
        <w:t>Sector signals</w:t>
      </w:r>
    </w:p>
    <w:p>
      <w:pPr>
        <w:pStyle w:val="body_letter"/>
      </w:pPr>
      <w:r>
        <w:rPr>
          <w:rFonts w:ascii="Arial" w:hAnsi="Arial"/>
          <w:b/>
          <w:color w:val="000000"/>
          <w:sz w:val="19"/>
        </w:rPr>
        <w:t>Public Sector</w:t>
      </w:r>
    </w:p>
    <w:p>
      <w:pPr>
        <w:pStyle w:val="body_letter"/>
      </w:pPr>
      <w:r>
        <w:rPr>
          <w:rFonts w:ascii="Arial" w:hAnsi="Arial"/>
          <w:b w:val="0"/>
          <w:color w:val="000000"/>
          <w:sz w:val="19"/>
        </w:rPr>
        <w:t>Commonwealth Finance's release of RMG 140 (Commonwealth Climate Disclosure) and its companion 'What needs to be disclosed?' guidance creates an immediate, mandate-driven advisory pull across Commonwealth entities that will need climate reporting frameworks, assurance-ready controls, and board-level capability uplift, the proximity of compliance deadlines makes early-mover positioning material this fortnight. PGPA Newsletter 118 reinforces ongoing governance and accountability obligations across the Commonwealth, opening performance advisory, internal audit refresh, and accountability-framework conversations with panel clients ahead of the next budget cycle. ACCC's concurrent market monitoring across CDR expansion to non-bank lenders, home battery consumer protections, and east-coast gas supply signals accelerating regulator investment in digital economy infrastructure and energy transition oversight, generating pursuit leads in regulatory design, data-sharing architecture, and consumer protection advisory. Partners must also note that KPMG's disclosed suspension from several state government tender processes, reported to the US PCAOB, requires urgent partner-level triage of the affected state-client roster before any new state-government pursuits are activated or proposals lodged.</w:t>
      </w:r>
    </w:p>
    <w:p>
      <w:pPr>
        <w:pStyle w:val="body_letter"/>
      </w:pPr>
      <w:r>
        <w:rPr>
          <w:rFonts w:ascii="Arial" w:hAnsi="Arial"/>
          <w:b/>
          <w:color w:val="000000"/>
          <w:sz w:val="19"/>
        </w:rPr>
        <w:t>Financial Services</w:t>
      </w:r>
    </w:p>
    <w:p>
      <w:pPr>
        <w:pStyle w:val="body_letter"/>
      </w:pPr>
      <w:r>
        <w:rPr>
          <w:rFonts w:ascii="Arial" w:hAnsi="Arial"/>
          <w:b w:val="0"/>
          <w:color w:val="000000"/>
          <w:sz w:val="19"/>
        </w:rPr>
        <w:t>ASIC's simultaneous publication of REP 833 and an enforcement action against platform trustees signals a sustained supervisory campaign on superannuation governance, creating immediate demand for independent risk-framework and adviser-oversight reviews across the trustee market, FSC's commencement of the platform trustee standard on the same cycle amplifies the urgency for clients still mapping compliance gaps. The Treasury/Assistant Treasurer proposal to expand ASIC's audit surveillance mandate, more file reviews, greater transparency, escalated penalties, positions KPMG's audit advisory and quality-assurance bench ahead of likely legislative change with material near-term pipeline implications. The $20.5M penalty against ASX for misleading conduct on the CHESS replacement project, read alongside ASIC's REP 835 FMI innovation landscape review, signals regulator intent to embed assurance and disclosure standards into technology transformation programs at market infrastructure entities, opening a project-governance and independent-review pitch to FMI operators. Deutsche Bank's $2M trade reporting penalty and two AFS licence cancellations in the same fortnight reinforce ASIC's systemic-risk and market-integrity priorities, creating regulatory remediation conversations with sell-side, CFD, and wholesale-product clients.</w:t>
      </w:r>
    </w:p>
    <w:p>
      <w:pPr>
        <w:pStyle w:val="body_letter"/>
      </w:pPr>
      <w:r>
        <w:rPr>
          <w:rFonts w:ascii="Arial" w:hAnsi="Arial"/>
          <w:b/>
          <w:color w:val="000000"/>
          <w:sz w:val="19"/>
        </w:rPr>
        <w:t>Health, Ageing &amp; Human Services</w:t>
      </w:r>
    </w:p>
    <w:p>
      <w:pPr>
        <w:pStyle w:val="body_letter"/>
      </w:pPr>
      <w:r>
        <w:rPr>
          <w:rFonts w:ascii="Arial" w:hAnsi="Arial"/>
          <w:b w:val="0"/>
          <w:color w:val="000000"/>
          <w:sz w:val="19"/>
        </w:rPr>
        <w:t>The NDIS Quality and Safeguards Commission's mandatory registration framework is generating acute compliance pressure across the provider ecosystem, with confirmed reporting of smaller operators, including family carers, unaware of criminal liability exposure under the new rules, creating an immediate readiness advisory gap that the market cannot yet self-serve. The Senate's passage of legislation reinstating a human override for Labor's algorithmic aged care home-support funding tool signals legislative appetite for AI governance controls in human services, opening a near-term technology risk and assurance engagement before enabling regulations are drafted. Ahpra's CEO has publicly committed to a proactive, future-ready regulatory posture backed by new 2026-31 Health Profession Agreements (OT Board confirmed), while TGA's 1 July 2026 Unique Device Identification requirements activate a parallel compliance uplift need across medical technology clients. Across these signals, KPMG's human services bench has credible entry points spanning NDIS provider registration readiness, aged care AI governance, and health-workforce regulatory strategy.</w:t>
      </w:r>
    </w:p>
    <w:p>
      <w:pPr>
        <w:pStyle w:val="body_letter"/>
      </w:pPr>
      <w:r>
        <w:rPr>
          <w:rFonts w:ascii="Arial" w:hAnsi="Arial"/>
          <w:b/>
          <w:color w:val="000000"/>
          <w:sz w:val="19"/>
        </w:rPr>
        <w:t>Energy, Mining &amp; Property</w:t>
      </w:r>
    </w:p>
    <w:p>
      <w:pPr>
        <w:pStyle w:val="body_letter"/>
      </w:pPr>
      <w:r>
        <w:rPr>
          <w:rFonts w:ascii="Arial" w:hAnsi="Arial"/>
          <w:b w:val="0"/>
          <w:color w:val="000000"/>
          <w:sz w:val="19"/>
        </w:rPr>
        <w:t>The AER's 2028-33 regulatory determination cycle is generating concentrated advisory demand: Transgrid's expenditure forecasting methodology submission and contested gas access arrangement reviews for AusNet and Multinet signal active proceedings where network businesses require regulatory economics, capex/opex benchmarking, and submission-support capability. Simultaneously, annual ring-fencing compliance reports from Jemena, Directlink/Murraylink, and the independent assessment requirement for Endeavour Energy indicate a maturing assurance market across regulated energy networks. The launch of Australia's first independent national Environmental Protection Agency creates a new Commonwealth client with urgent needs across governance design, data systems, environmental economics, and regulatory capability uplift. NSW's royalty deferral scheme for two critical minerals projects introduces a discrete project-finance and economic-modelling advisory angle in the mining sub-sector, while EPA Victoria's physical climate risk guidance signals expanding compliance obligations for property and resources clients.</w:t>
      </w:r>
    </w:p>
    <w:p>
      <w:pPr>
        <w:pStyle w:val="body_letter"/>
      </w:pPr>
      <w:r>
        <w:rPr>
          <w:rFonts w:ascii="Arial" w:hAnsi="Arial"/>
          <w:b/>
          <w:color w:val="000000"/>
          <w:sz w:val="19"/>
        </w:rPr>
        <w:t>National Security &amp; Justice</w:t>
      </w:r>
    </w:p>
    <w:p>
      <w:pPr>
        <w:pStyle w:val="body_letter"/>
      </w:pPr>
      <w:r>
        <w:rPr>
          <w:rFonts w:ascii="Arial" w:hAnsi="Arial"/>
          <w:b w:val="0"/>
          <w:color w:val="000000"/>
          <w:sz w:val="19"/>
        </w:rPr>
        <w:t>AUSTRAC's concurrent enforceable undertakings against bet365 and Sportsbet, combined with the formal commencement of Tranche 2 AML/CTF obligations covering real estate agents, accountants, and lawyers, signal a deliberate enforcement escalation that will drive systemic compliance-program remediation and uplift demand across multiple sectors. The ACIC's consolidation of national policing data and intelligence into NCIS represents a material federal technology and capability investment, opening advisory lanes in data architecture, program delivery, and analytics. AFSA's new Fraud and Corruption Control Plan 2026-28 and its targeted insolvency-manipulation program indicate a structured capability-building cycle suited to external design and implementation support. Collectively, these signals position KPMG for immediate pursuit conversations with AUSTRAC-supervised wagering entities, the incoming Tranche 2 regulated population, ACIC, and AFSA within the same fortnight window.</w:t>
      </w:r>
    </w:p>
    <w:p>
      <w:pPr>
        <w:pStyle w:val="body_letter"/>
      </w:pPr>
      <w:r>
        <w:rPr>
          <w:rFonts w:ascii="Arial" w:hAnsi="Arial"/>
          <w:b/>
          <w:color w:val="000000"/>
          <w:sz w:val="19"/>
        </w:rPr>
        <w:t>Defence</w:t>
      </w:r>
    </w:p>
    <w:p>
      <w:pPr>
        <w:pStyle w:val="body_letter"/>
      </w:pPr>
      <w:r>
        <w:rPr>
          <w:rFonts w:ascii="Arial" w:hAnsi="Arial"/>
          <w:b w:val="0"/>
          <w:color w:val="000000"/>
          <w:sz w:val="19"/>
        </w:rPr>
        <w:t>The announcement of AUKUS Pillar II's first signature project signals a material Commonwealth investment commitment in advanced capability domains, autonomous systems, AI integration, and quantum technologies, creating immediate demand for technology governance, program assurance, and capability-uplift advisory across the Defence and national security precinct. Concurrently, Australia's record $2.5 billion radar export to Canada, read alongside the Defence Connect export-controls reform signal, positions the revised DEFENCE EXPORT CONTROLS framework as the pivotal regulatory lever for sovereign industry scale-up, opening compliance-design and regulatory-advisory pursuit lanes. The Omni-Samarkand nuclear capability partnership reflects accelerating AUKUS Pillar I ecosystem development, where nuclear safety regulation, workforce L&amp;D gaps, and supply-chain due diligence are emerging as unserviced advisory needs. The RBA's June 2026 Bulletin framing geopolitical risk as a financial-stability variable provides a cross-sector hook for positioning KPMG's risk and resilience offering to Defence-adjacent financial institutions and Commonwealth entities.</w:t>
      </w:r>
    </w:p>
    <w:p>
      <w:pPr>
        <w:pStyle w:val="body_letter"/>
      </w:pPr>
      <w:r>
        <w:rPr>
          <w:rFonts w:ascii="Arial" w:hAnsi="Arial"/>
          <w:b/>
          <w:color w:val="000000"/>
          <w:sz w:val="19"/>
        </w:rPr>
        <w:t>Transport</w:t>
      </w:r>
    </w:p>
    <w:p>
      <w:pPr>
        <w:pStyle w:val="body_letter"/>
      </w:pPr>
      <w:r>
        <w:rPr>
          <w:rFonts w:ascii="Arial" w:hAnsi="Arial"/>
          <w:b w:val="0"/>
          <w:color w:val="000000"/>
          <w:sz w:val="19"/>
        </w:rPr>
        <w:t>AMSA's published National Compliance Plan 2026-27 is the period's clearest regulator-investment signal, setting out targeted enforcement priorities across maritime that translate directly into compliance-readiness and assurance demand for vessel operators, port managers, and cruise lines, with the live MUA complaint against Carnival Cruises illustrating that enforcement is already active. CASA's own-motion surveillance of the helicopter sector has uncovered recurring systemic safety issues, indicating a regulator primed for follow-on capability uplift and safety-management-system reform work, while the joint Home Affairs-CASA consultation on drone security (with a companion CASA proposal on above-400ft drone operations) signals cross-agency regulatory architecture being built in real time around uncrewed systems. The amended Heavy Vehicle National Law introduces new compliance obligations across road freight that will require legal-translation and gap-analysis support across state-based operators. Collectively these actions point to a dense pipeline of regulatory-change advisory, assurance, and capability-build work across aviation, maritime, and road freight in the second half of 2026.</w:t>
      </w:r>
    </w:p>
    <w:p>
      <w:pPr>
        <w:pStyle w:val="body_letter"/>
      </w:pPr>
      <w:r>
        <w:rPr>
          <w:rFonts w:ascii="Arial" w:hAnsi="Arial"/>
          <w:b/>
          <w:color w:val="000000"/>
          <w:sz w:val="19"/>
        </w:rPr>
        <w:t>Education</w:t>
      </w:r>
    </w:p>
    <w:p>
      <w:pPr>
        <w:pStyle w:val="body_letter"/>
      </w:pPr>
      <w:r>
        <w:rPr>
          <w:rFonts w:ascii="Arial" w:hAnsi="Arial"/>
          <w:b w:val="0"/>
          <w:color w:val="000000"/>
          <w:sz w:val="19"/>
        </w:rPr>
        <w:t>TEQSA and ASQA are jointly escalating compliance expectations across two fronts simultaneously: overseas student transfer practices are under a formal sector-wide alert, and new gen AI guidance is reframing learning-assurance obligations as a standing regulatory requirement for all registered providers. The public-service intervention to stabilise ANU signals a governance and financial-management failure severe enough to attract Commonwealth direction, creating an immediate institutional transformation mandate. DEWR's concurrent release of an AI-and-employment report and updated Strategic Framework positions workforce capability reform as a whole-of-government priority, reinforcing L&amp;D and change-management demand across the education and employment services interface. KPMG can credibly enter three near-term pursuits: a gen AI governance and learning-assurance rapid assessment pitched to Go8 and regional universities, an international student compliance risk review for providers with high offshore enrolments, and a transformation advisory offering anchored to the ANU crisis trajectory.</w:t>
      </w:r>
    </w:p>
    <w:p>
      <w:pPr>
        <w:pStyle w:val="subheading_letter"/>
      </w:pPr>
      <w:r>
        <w:rPr>
          <w:rFonts w:ascii="Arial" w:hAnsi="Arial"/>
          <w:b/>
          <w:color w:val="76D2FF"/>
          <w:sz w:val="21"/>
        </w:rPr>
        <w:t>Jurisdiction signals</w:t>
      </w:r>
    </w:p>
    <w:p>
      <w:pPr>
        <w:pStyle w:val="body_letter"/>
      </w:pPr>
      <w:r>
        <w:rPr>
          <w:rFonts w:ascii="Arial" w:hAnsi="Arial"/>
          <w:b/>
          <w:color w:val="000000"/>
          <w:sz w:val="19"/>
        </w:rPr>
        <w:t>Commonwealth</w:t>
      </w:r>
    </w:p>
    <w:p>
      <w:pPr>
        <w:pStyle w:val="body_letter"/>
      </w:pPr>
      <w:r>
        <w:rPr>
          <w:rFonts w:ascii="Arial" w:hAnsi="Arial"/>
          <w:b w:val="0"/>
          <w:color w:val="000000"/>
          <w:sz w:val="19"/>
        </w:rPr>
        <w:t>Australia's first national EPA has commenced operations with a chief executive appointed, establishing a significant new federal environmental regulator with compliance implications across energy, resources, and manufacturing sectors that clients must now engage with at the Commonwealth level. ASIC has recorded a historic enforcement period in the first half of 2026 with continued momentum signalled, indicating elevated investigation and litigation risk for financial services clients and strong advisory demand around enforcement readiness. The Department of Home Affairs is consulting on amendments to streamline and modernise the Security of Critical Infrastructure Act 2018, presenting near-term advisory opportunities for critical infrastructure entities, while the ACMA has published its 2026-27 compliance priorities centred on consumer protection. Concurrently, the ACCC has taken penalty action against an NDIS-linked provider and the Fair Work Ombudsman has engaged on payday super compliance, underscoring active multi-agency enforcement across the care economy and employment sectors.</w:t>
      </w:r>
    </w:p>
    <w:p>
      <w:pPr>
        <w:pStyle w:val="body_letter"/>
      </w:pPr>
      <w:r>
        <w:rPr>
          <w:rFonts w:ascii="Arial" w:hAnsi="Arial"/>
          <w:b/>
          <w:color w:val="000000"/>
          <w:sz w:val="19"/>
        </w:rPr>
        <w:t>New South Wales</w:t>
      </w:r>
    </w:p>
    <w:p>
      <w:pPr>
        <w:pStyle w:val="body_letter"/>
      </w:pPr>
      <w:r>
        <w:rPr>
          <w:rFonts w:ascii="Arial" w:hAnsi="Arial"/>
          <w:b w:val="0"/>
          <w:color w:val="000000"/>
          <w:sz w:val="19"/>
        </w:rPr>
        <w:t>SafeWork NSW has publicly flagged its current compliance priorities, and the appointment of an inaugural SafeWork NSW Advisory Council signals a strategic reset in the regulator's governance that businesses should monitor for emerging obligations. IPART has new leadership with the appointment of Anthony Wing as Chair, replacing Carmel Donnelly, which may foreshadow shifts in pricing and regulatory determinations across regulated sectors. The NSW Budget has foregrounded development delivery, with property acquisition functions being merged into the Department of Planning, Housing and Infrastructure to create a single touchpoint, concentrating planning regulatory risk and advisory demand. Integrity oversight remains active, with ICAC examining NSW Liberal factional conduct in the Hills district and the Attorney General responding publicly to an inquiry critical of the Office of the Director of Public Prosecutions.</w:t>
      </w:r>
    </w:p>
    <w:p>
      <w:pPr>
        <w:pStyle w:val="body_letter"/>
      </w:pPr>
      <w:r>
        <w:rPr>
          <w:rFonts w:ascii="Arial" w:hAnsi="Arial"/>
          <w:b/>
          <w:color w:val="000000"/>
          <w:sz w:val="19"/>
        </w:rPr>
        <w:t>Victoria</w:t>
      </w:r>
    </w:p>
    <w:p>
      <w:pPr>
        <w:pStyle w:val="body_letter"/>
      </w:pPr>
      <w:r>
        <w:rPr>
          <w:rFonts w:ascii="Arial" w:hAnsi="Arial"/>
          <w:b w:val="0"/>
          <w:color w:val="000000"/>
          <w:sz w:val="19"/>
        </w:rPr>
        <w:t>Victoria is experiencing significant legislative and regulatory activity across several sectors this period. The introduction of the Victorian Work from Home Bill establishes new employer compliance obligations and is expected to substantially increase VCAT's dispute resolution caseload, creating advisory demand across employment and industrial relations. The Essential Services Commission has launched a formal pricing inquiry into Port of Melbourne, signalling heightened scrutiny of infrastructure pricing arrangements and presenting immediate advisory opportunities in the utilities and transport sectors. EPA Victoria's launch of a new land-clearing surveillance program marks a material strategic shift toward proactive, technology-enabled environmental enforcement, raising compliance risk for landholders and developers, while concurrent building reform amendments and Owners Corporation Act changes, alongside an updated Ministerial Statement of Expectations, reinforce a sustained Victorian legislative reform agenda across property, construction, and strata sectors.</w:t>
      </w:r>
    </w:p>
    <w:p>
      <w:pPr>
        <w:pStyle w:val="body_letter"/>
      </w:pPr>
      <w:r>
        <w:rPr>
          <w:rFonts w:ascii="Arial" w:hAnsi="Arial"/>
          <w:b/>
          <w:color w:val="000000"/>
          <w:sz w:val="19"/>
        </w:rPr>
        <w:t>Queensland</w:t>
      </w:r>
    </w:p>
    <w:p>
      <w:pPr>
        <w:pStyle w:val="body_letter"/>
      </w:pPr>
      <w:r>
        <w:rPr>
          <w:rFonts w:ascii="Arial" w:hAnsi="Arial"/>
          <w:b w:val="0"/>
          <w:color w:val="000000"/>
          <w:sz w:val="19"/>
        </w:rPr>
        <w:t>Queensland's 2026-27 Budget commits a record $119 billion infrastructure and housing program alongside productivity reforms, creating broad advisory opportunities across procurement, planning, and compliance. New e-mobility legislation has commenced and Queensland law firms face immediate enrolment obligations under the expanded Commonwealth AML/CTF regime, presenting near-term compliance advisory work. The Palaszczuk government announced major safeguarding reforms in response to the In Plain Sight review, while a proposed new building code is generating industry-wide confusion and a concurrent misconduct inquiry targets the former building regulator boss, signalling heightened scrutiny in the construction sector. The Queensland Productivity Commission's review of EPBC Act reforms and the appointment of Supreme Court judges to lead a human rights framework review indicate a sustained pipeline of state-level regulatory change ahead.</w:t>
      </w:r>
    </w:p>
    <w:p>
      <w:pPr>
        <w:pStyle w:val="body_letter"/>
      </w:pPr>
      <w:r>
        <w:rPr>
          <w:rFonts w:ascii="Arial" w:hAnsi="Arial"/>
          <w:b/>
          <w:color w:val="000000"/>
          <w:sz w:val="19"/>
        </w:rPr>
        <w:t>Western Australia</w:t>
      </w:r>
    </w:p>
    <w:p>
      <w:pPr>
        <w:pStyle w:val="body_letter"/>
      </w:pPr>
      <w:r>
        <w:rPr>
          <w:rFonts w:ascii="Arial" w:hAnsi="Arial"/>
          <w:b w:val="0"/>
          <w:color w:val="000000"/>
          <w:sz w:val="19"/>
        </w:rPr>
        <w:t>Western Australia has become the first Australian jurisdiction to deploy real-time facial recognition surveillance cameras in a public policing context, generating significant civil liberties criticism and creating immediate privacy compliance and advisory opportunities for businesses operating in the state. The Cook Government has announced a major residential subdivision reform that will open thousands more Perth properties to subdivision, substantially reshaping planning compliance obligations and creating advisory demand across the development sector. WA enforcement activity has intensified across multiple sectors: over a tonne of illicit tobacco was seized and nearly 50 retail stores were closed, Inpex received a formal mercury-emissions warning from the resources regulator, and the state recorded its first conviction under recently enacted towing reform legislation. WA is also actively engaging with Commonwealth regulatory reform on online lotteries to protect its state-owned lottery system, signalling the government's strategic use of federal consultation processes to preserve state regulatory interests.</w:t>
      </w:r>
    </w:p>
    <w:p>
      <w:pPr>
        <w:pStyle w:val="body_letter"/>
      </w:pPr>
      <w:r>
        <w:rPr>
          <w:rFonts w:ascii="Arial" w:hAnsi="Arial"/>
          <w:b/>
          <w:color w:val="000000"/>
          <w:sz w:val="19"/>
        </w:rPr>
        <w:t>South Australia</w:t>
      </w:r>
    </w:p>
    <w:p>
      <w:pPr>
        <w:pStyle w:val="body_letter"/>
      </w:pPr>
      <w:r>
        <w:rPr>
          <w:rFonts w:ascii="Arial" w:hAnsi="Arial"/>
          <w:b w:val="0"/>
          <w:color w:val="000000"/>
          <w:sz w:val="19"/>
        </w:rPr>
        <w:t>South Australia has enacted new criminal legislation making the creation and distribution of deepfakes an offence, positioning SA ahead of a still-absent federal equivalent and creating advisory opportunities around digital compliance frameworks for SA-regulated entities. The SA gambling regulator concluded its independent review of SkyCity Adelaide, with a settlement requiring SkyCity to pay approximately AU$21 million in fines and appoint a dedicated Adelaide CEO, signalling continued regulatory scrutiny of casino AML/CTF and responsible gambling obligations. SA's First Nations Voice to Parliament reforms have been publicly revealed, introducing new legislative requirements that will affect government and industry engagement frameworks in the state. SafeWork SA has flagged major safety expenditure following asbestos risks identified at gym premises, indicating active WHS enforcement and potential compliance uplift obligations for facility operators across SA.</w:t>
      </w:r>
    </w:p>
    <w:p>
      <w:pPr>
        <w:pStyle w:val="body_letter"/>
      </w:pPr>
      <w:r>
        <w:rPr>
          <w:rFonts w:ascii="Arial" w:hAnsi="Arial"/>
          <w:b/>
          <w:color w:val="000000"/>
          <w:sz w:val="19"/>
        </w:rPr>
        <w:t>Tasmania</w:t>
      </w:r>
    </w:p>
    <w:p>
      <w:pPr>
        <w:pStyle w:val="body_letter"/>
      </w:pPr>
      <w:r>
        <w:rPr>
          <w:rFonts w:ascii="Arial" w:hAnsi="Arial"/>
          <w:b w:val="0"/>
          <w:color w:val="000000"/>
          <w:sz w:val="19"/>
        </w:rPr>
        <w:t>Tasmania has enacted a nation-first levy on family violence offenders and announced the first tranche of broader family violence protection reforms, creating new compliance obligations and advisory opportunities for organisations across the social services, legal, and insurance sectors. The state faces up to $300 million in potential native logging compensation liabilities as Commonwealth EPBC reforms loom, representing a material cross-jurisdictional risk requiring urgent attention for forestry and land-use clients. Significant local government structural reform, legislation to cut 50 councillors has cleared the upper house, will reshape regulatory and governance frameworks ahead of imminent council elections, with downstream implications for planning and procurement compliance. Concurrent regulator activity includes a WorkSafe Tasmania investigation following a public fireworks incident and an EPA decision to lift a processing ban on a recycling facility, signalling active enforcement postures in WHS and environmental compliance.</w:t>
      </w:r>
    </w:p>
    <w:p>
      <w:pPr>
        <w:pStyle w:val="body_letter"/>
      </w:pPr>
      <w:r>
        <w:rPr>
          <w:rFonts w:ascii="Arial" w:hAnsi="Arial"/>
          <w:b/>
          <w:color w:val="000000"/>
          <w:sz w:val="19"/>
        </w:rPr>
        <w:t>Australian Capital Territory</w:t>
      </w:r>
    </w:p>
    <w:p>
      <w:pPr>
        <w:pStyle w:val="body_letter"/>
      </w:pPr>
      <w:r>
        <w:rPr>
          <w:rFonts w:ascii="Arial" w:hAnsi="Arial"/>
          <w:b w:val="0"/>
          <w:color w:val="000000"/>
          <w:sz w:val="19"/>
        </w:rPr>
        <w:t>The ACT Government has passed 'missing middle' housing reforms permitting medium-density infill development, a landmark planning change creating compliance and advisory demand for developers, councils and affected landowners. The 2026-27 ACT Budget eliminates stamp duty for first-home buyers and projects net debt reaching $12.5 billion, signalling a significant shift in ACT revenue and property tax settings that will require updated compliance frameworks. A major statutory review of ACT pokies regulation has recommended a phased, managed transition rather than abrupt licence stripping, presenting advisory opportunities around club governance and licence compliance planning; separately, a firm avoided prosecution via a workplace safety undertaking, illustrating active WHS enforcement by Access Canberra. A cross-jurisdictional procurement integrity gap has been exposed, a subcontractor formally banned in NSW was found to have won ACT government work, underscoring weaknesses in ACT procurement screening and debarment reciprocity.</w:t>
      </w:r>
    </w:p>
    <w:p>
      <w:pPr>
        <w:pStyle w:val="body_letter"/>
      </w:pPr>
      <w:r>
        <w:rPr>
          <w:rFonts w:ascii="Arial" w:hAnsi="Arial"/>
          <w:b/>
          <w:color w:val="000000"/>
          <w:sz w:val="19"/>
        </w:rPr>
        <w:t>Northern Territory</w:t>
      </w:r>
    </w:p>
    <w:p>
      <w:pPr>
        <w:pStyle w:val="body_letter"/>
      </w:pPr>
      <w:r>
        <w:rPr>
          <w:rFonts w:ascii="Arial" w:hAnsi="Arial"/>
          <w:b w:val="0"/>
          <w:color w:val="000000"/>
          <w:sz w:val="19"/>
        </w:rPr>
        <w:t>NT WorkSafe has charged the NT Health Department over a patient death at Darwin Hospital involving an aerosol can, a notable enforcement action against a government entity, while a separate controversy over dropped charges in another workplace death raises questions about WorkSafe's prosecutorial consistency and accountability. The NT Government's Every Child Matters Bill is attracting sharp criticism from SNAICC, and a damning systemic-failings report reinforces pressure for substantive child protection legislative reform, presenting advisory opportunities around compliance frameworks and implementation. The NT EPA approved Santos' hot venting request, reflecting continued regulatory accommodation of resources sector operational needs, while consumer protection enforcement is active with $38,000 in fines issued to service stations for fuel price overcharging.</w:t>
      </w: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1417"/>
        <w:gridCol w:w="7937"/>
      </w:tblGrid>
      <w:tr>
        <w:tc>
          <w:tcPr>
            <w:tcW w:type="dxa" w:w="1417"/>
          </w:tcPr>
          <w:p>
            <w:pPr>
              <w:spacing w:after="0"/>
            </w:pPr>
            <w:r>
              <w:drawing>
                <wp:inline xmlns:a="http://schemas.openxmlformats.org/drawingml/2006/main" xmlns:pic="http://schemas.openxmlformats.org/drawingml/2006/picture">
                  <wp:extent cx="619200" cy="760494"/>
                  <wp:docPr id="2" name="Picture 2"/>
                  <wp:cNvGraphicFramePr>
                    <a:graphicFrameLocks noChangeAspect="1"/>
                  </wp:cNvGraphicFramePr>
                  <a:graphic>
                    <a:graphicData uri="http://schemas.openxmlformats.org/drawingml/2006/picture">
                      <pic:pic>
                        <pic:nvPicPr>
                          <pic:cNvPr id="0" name="signature-adam.png"/>
                          <pic:cNvPicPr/>
                        </pic:nvPicPr>
                        <pic:blipFill>
                          <a:blip r:embed="rId10"/>
                          <a:stretch>
                            <a:fillRect/>
                          </a:stretch>
                        </pic:blipFill>
                        <pic:spPr>
                          <a:xfrm>
                            <a:off x="0" y="0"/>
                            <a:ext cx="619200" cy="760494"/>
                          </a:xfrm>
                          <a:prstGeom prst="rect"/>
                        </pic:spPr>
                      </pic:pic>
                    </a:graphicData>
                  </a:graphic>
                </wp:inline>
              </w:drawing>
            </w:r>
          </w:p>
        </w:tc>
        <w:tc>
          <w:tcPr>
            <w:tcW w:type="dxa" w:w="7937"/>
          </w:tcPr>
          <w:p>
            <w:pPr>
              <w:spacing w:after="0" w:line="240" w:lineRule="auto"/>
            </w:pPr>
            <w:r>
              <w:rPr>
                <w:rFonts w:ascii="Arial" w:hAnsi="Arial"/>
                <w:b/>
                <w:color w:val="000000"/>
                <w:sz w:val="20"/>
              </w:rPr>
              <w:t>Adam Mason-Jefferies</w:t>
            </w:r>
          </w:p>
          <w:p>
            <w:pPr>
              <w:spacing w:after="0" w:line="240" w:lineRule="auto"/>
            </w:pPr>
            <w:r>
              <w:rPr>
                <w:rFonts w:ascii="Arial" w:hAnsi="Arial"/>
                <w:i/>
                <w:color w:val="666666"/>
                <w:sz w:val="18"/>
              </w:rPr>
              <w:t>Director</w:t>
            </w:r>
          </w:p>
          <w:p>
            <w:pPr>
              <w:spacing w:after="0" w:line="240" w:lineRule="auto"/>
            </w:pPr>
            <w:r>
              <w:rPr>
                <w:rFonts w:ascii="Arial" w:hAnsi="Arial"/>
                <w:color w:val="666666"/>
                <w:sz w:val="18"/>
              </w:rPr>
              <w:t>Regulatory Transformation Community of Practice</w:t>
            </w:r>
          </w:p>
        </w:tc>
      </w:tr>
    </w:tbl>
    <w:p>
      <w:pPr>
        <w:spacing w:after="0" w:line="240" w:lineRule="auto"/>
      </w:pPr>
      <w:r>
        <w:rPr>
          <w:rFonts w:ascii="Arial" w:hAnsi="Arial"/>
          <w:b/>
          <w:color w:val="666666"/>
          <w:sz w:val="16"/>
        </w:rPr>
        <w:t>For internal use only.</w:t>
      </w:r>
    </w:p>
    <w:p>
      <w:pPr>
        <w:spacing w:after="0" w:line="240" w:lineRule="auto"/>
      </w:pPr>
      <w:r>
        <w:rPr>
          <w:rFonts w:ascii="Arial" w:hAnsi="Arial"/>
          <w:color w:val="666666"/>
          <w:sz w:val="16"/>
        </w:rPr>
        <w:t>© 2026 KPMG, an Australian partnership and a member firm of the KPMG global organisation of independent member firms affiliated with KPMG International Limited, a private English company limited by guarantee. All rights reserved.</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00338D"/>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00338D"/>
      <w:sz w:val="32"/>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00338D"/>
      <w:sz w:val="28"/>
    </w:rPr>
  </w:style>
  <w:style w:type="paragraph" w:styleId="Heading4">
    <w:name w:val="heading 4"/>
    <w:basedOn w:val="Normal"/>
    <w:next w:val="Normal"/>
    <w:link w:val="Heading4Char"/>
    <w:uiPriority w:val="9"/>
    <w:semiHidden/>
    <w:unhideWhenUsed/>
    <w:qFormat/>
    <w:rsid w:val="00FC693F"/>
    <w:pPr>
      <w:keepNext/>
      <w:keepLines/>
      <w:spacing w:before="160" w:after="120"/>
      <w:outlineLvl w:val="3"/>
    </w:pPr>
    <w:rPr>
      <w:rFonts w:asciiTheme="majorHAnsi" w:eastAsiaTheme="majorEastAsia" w:hAnsiTheme="majorHAnsi" w:cstheme="majorBidi" w:ascii="Arial" w:hAnsi="Arial"/>
      <w:b/>
      <w:bCs/>
      <w:i/>
      <w:iCs/>
      <w:color w:val="00338D"/>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ody_letter">
    <w:name w:val="body_letter"/>
    <w:basedOn w:val="Normal"/>
    <w:pPr>
      <w:spacing w:line="240" w:lineRule="auto" w:before="0" w:after="120"/>
      <w:ind w:firstLine="0"/>
    </w:pPr>
    <w:rPr>
      <w:rFonts w:ascii="Arial" w:hAnsi="Arial"/>
      <w:b w:val="0"/>
      <w:i w:val="0"/>
      <w:color w:val="000000"/>
      <w:sz w:val="19"/>
    </w:rPr>
  </w:style>
  <w:style w:type="paragraph" w:customStyle="1" w:styleId="subheading_letter">
    <w:name w:val="subheading_letter"/>
    <w:basedOn w:val="Normal"/>
    <w:pPr>
      <w:spacing w:before="160" w:after="80" w:line="240" w:lineRule="auto"/>
    </w:pPr>
    <w:rPr>
      <w:rFonts w:ascii="Arial" w:hAnsi="Arial"/>
      <w:b/>
      <w:i w:val="0"/>
      <w:color w:val="76D2FF"/>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