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4–17 June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17 June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the Tasmanian regulatory landscape is moving on multiple fronts simultaneously — liquor licensing is being streamlined, family violence protections are advancing, government contracting rules are being reformed, and native forest logging faces material financial exposure under looming EPBC changes, signalling that burden-reduction and compliance-risk pressures are running in parallel rather than sequence. The EPBC native logging liability of up to $300 million is the single most significant advisory opportunity we see this fortnight, as affected industry participants and government will need urgent clarity on transition obligations, financial provisioning, and stakeholder engagement strategies that sit squarely in our PEPI wheelhouse. Convene an internal cross-practice session with our environment, infrastructure, and government advisory teams this week to map the client landscape, identify where we hold existing relationships, and develop a targeted outreach position before the reform momentum crystallises.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 see Themes below.</w:t>
      </w:r>
    </w:p>
    <w:p>
      <w:pPr>
        <w:pStyle w:val="subheading_letter"/>
      </w:pPr>
      <w:r>
        <w:rPr>
          <w:rFonts w:ascii="Arial" w:hAnsi="Arial"/>
          <w:b/>
          <w:color w:val="76D2FF"/>
          <w:sz w:val="21"/>
        </w:rPr>
        <w:t>Our clients in the news</w:t>
      </w:r>
    </w:p>
    <w:p>
      <w:pPr>
        <w:pStyle w:val="body_letter"/>
      </w:pPr>
      <w:r>
        <w:rPr>
          <w:rFonts w:ascii="Arial" w:hAnsi="Arial"/>
          <w:i/>
          <w:color w:val="666666"/>
          <w:sz w:val="19"/>
        </w:rPr>
        <w:t>No client-in-news signal this fortnight across any jurisdiction.</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body_letter"/>
      </w:pPr>
      <w:r>
        <w:rPr>
          <w:rFonts w:ascii="Arial" w:hAnsi="Arial"/>
          <w:i/>
          <w:color w:val="666666"/>
          <w:sz w:val="19"/>
        </w:rPr>
        <w:t>No emerging risks signal this fortnight.</w:t>
      </w:r>
    </w:p>
    <w:p>
      <w:pPr>
        <w:pStyle w:val="body_letter"/>
      </w:pPr>
      <w:r>
        <w:rPr>
          <w:rFonts w:ascii="Arial" w:hAnsi="Arial"/>
          <w:b/>
          <w:color w:val="000000"/>
          <w:sz w:val="19"/>
        </w:rPr>
        <w:t>AI adoption</w:t>
      </w:r>
    </w:p>
    <w:p>
      <w:pPr>
        <w:pStyle w:val="body_letter"/>
      </w:pPr>
      <w:r>
        <w:rPr>
          <w:rFonts w:ascii="Arial" w:hAnsi="Arial"/>
          <w:i/>
          <w:color w:val="666666"/>
          <w:sz w:val="19"/>
        </w:rPr>
        <w:t>No ai adoption signal this fortnight.</w:t>
      </w:r>
    </w:p>
    <w:p>
      <w:pPr>
        <w:pStyle w:val="body_letter"/>
      </w:pPr>
      <w:r>
        <w:rPr>
          <w:rFonts w:ascii="Arial" w:hAnsi="Arial"/>
          <w:b/>
          <w:color w:val="000000"/>
          <w:sz w:val="19"/>
        </w:rPr>
        <w:t>Regulatory burden</w:t>
      </w:r>
    </w:p>
    <w:p>
      <w:pPr>
        <w:pStyle w:val="body_letter"/>
      </w:pPr>
      <w:r>
        <w:rPr>
          <w:rFonts w:ascii="Arial" w:hAnsi="Arial"/>
          <w:i/>
          <w:color w:val="666666"/>
          <w:sz w:val="19"/>
        </w:rPr>
        <w:t>No regulatory burden signal this fortnight.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ABA Banking Conference</w:t>
      </w:r>
      <w:r>
        <w:rPr>
          <w:rFonts w:ascii="Arial" w:hAnsi="Arial"/>
          <w:color w:val="000000"/>
          <w:sz w:val="19"/>
        </w:rPr>
        <w:t xml:space="preserve"> — </w:t>
      </w:r>
      <w:r>
        <w:rPr>
          <w:rFonts w:ascii="Arial" w:hAnsi="Arial"/>
          <w:color w:val="000000"/>
          <w:sz w:val="19"/>
        </w:rPr>
        <w:t>17 Jun 2026 — APRA · Online</w:t>
      </w:r>
      <w:r>
        <w:rPr>
          <w:rFonts w:ascii="Arial" w:hAnsi="Arial"/>
          <w:color w:val="000000"/>
          <w:sz w:val="19"/>
        </w:rPr>
        <w:t xml:space="preserve"> (</w:t>
      </w:r>
      <w:hyperlink r:id="rId1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AFIA Risk Summit</w:t>
      </w:r>
      <w:r>
        <w:rPr>
          <w:rFonts w:ascii="Arial" w:hAnsi="Arial"/>
          <w:color w:val="000000"/>
          <w:sz w:val="19"/>
        </w:rPr>
        <w:t xml:space="preserve"> — </w:t>
      </w:r>
      <w:r>
        <w:rPr>
          <w:rFonts w:ascii="Arial" w:hAnsi="Arial"/>
          <w:color w:val="000000"/>
          <w:sz w:val="19"/>
        </w:rPr>
        <w:t>24 Jun 2026 — APRA · Online</w:t>
      </w:r>
      <w:r>
        <w:rPr>
          <w:rFonts w:ascii="Arial" w:hAnsi="Arial"/>
          <w:color w:val="000000"/>
          <w:sz w:val="19"/>
        </w:rPr>
        <w:t xml:space="preserve"> (</w:t>
      </w:r>
      <w:hyperlink r:id="rId11">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ACCC Compliance &amp; Enforcement Forum</w:t>
      </w:r>
      <w:r>
        <w:rPr>
          <w:rFonts w:ascii="Arial" w:hAnsi="Arial"/>
          <w:color w:val="000000"/>
          <w:sz w:val="19"/>
        </w:rPr>
        <w:t xml:space="preserve"> — </w:t>
      </w:r>
      <w:r>
        <w:rPr>
          <w:rFonts w:ascii="Arial" w:hAnsi="Arial"/>
          <w:color w:val="000000"/>
          <w:sz w:val="19"/>
        </w:rPr>
        <w:t>26 Jun 2026 — ACCC · Melbourne</w:t>
      </w:r>
    </w:p>
    <w:p>
      <w:pPr>
        <w:pStyle w:val="ListBullet"/>
      </w:pPr>
      <w:r>
        <w:rPr>
          <w:rFonts w:ascii="Arial" w:hAnsi="Arial"/>
          <w:b/>
          <w:color w:val="000000"/>
          <w:sz w:val="19"/>
        </w:rPr>
        <w:t>ASIC Enforcement Update Webinar — Q3 2026</w:t>
      </w:r>
      <w:r>
        <w:rPr>
          <w:rFonts w:ascii="Arial" w:hAnsi="Arial"/>
          <w:color w:val="000000"/>
          <w:sz w:val="19"/>
        </w:rPr>
        <w:t xml:space="preserve"> — </w:t>
      </w:r>
      <w:r>
        <w:rPr>
          <w:rFonts w:ascii="Arial" w:hAnsi="Arial"/>
          <w:color w:val="000000"/>
          <w:sz w:val="19"/>
        </w:rPr>
        <w:t>09 Jul 2026 — ASIC · Online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2"/>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apra.gov.au/events/aba-banking-conference" TargetMode="External"/><Relationship Id="rId11" Type="http://schemas.openxmlformats.org/officeDocument/2006/relationships/hyperlink" Target="https://www.apra.gov.au/events/afia-risk-summit-1" TargetMode="External"/><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