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483516"/>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483516"/>
                    </a:xfrm>
                    <a:prstGeom prst="rect"/>
                  </pic:spPr>
                </pic:pic>
              </a:graphicData>
            </a:graphic>
          </wp:inline>
        </w:drawing>
      </w:r>
    </w:p>
    <w:p>
      <w:pPr>
        <w:pStyle w:val="Heading1"/>
      </w:pPr>
      <w:r>
        <w:t>KPMG Regulatory Transformation Fortnightly Brief — 1–14 May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14 May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regulators have leaned harder into enforcement capability and market oversight — antitrust funding has been topped up, energy regulators have stepped up scrutiny of gas market performance and network pricing proposals, and environmental and planning settings are being recalibrated through the Budget, landfill levy litigation and faster renewable approvals — while the AI adoption and burden-reduction agendas continue to mature in the background. The opportunity that matters most for our advisory practice is helping regulators translate this enforcement and pricing intensity into defensible, data-driven decision-making, because fragmented systems and limited analytical depth remain the binding constraint on credible regulatory action. Convene our energy, competition and environmental regulatory leads in the next fortnight to shape a joint point of view on evidence-led enforcement and pricing oversight, and brief priority regulator clients on how we can stand up the data, AI governance and operating-model uplift required to deliver it.</w:t>
      </w:r>
    </w:p>
    <w:p>
      <w:pPr>
        <w:pStyle w:val="subheading_letter"/>
      </w:pPr>
      <w:r>
        <w:rPr>
          <w:rFonts w:ascii="Arial" w:hAnsi="Arial"/>
          <w:b/>
          <w:color w:val="76D2FF"/>
          <w:sz w:val="21"/>
        </w:rPr>
        <w:t>Regulators in the news (this fortnight)</w:t>
      </w:r>
    </w:p>
    <w:p>
      <w:pPr>
        <w:pStyle w:val="ListBullet"/>
      </w:pPr>
      <w:r>
        <w:rPr>
          <w:rFonts w:ascii="Arial" w:hAnsi="Arial"/>
          <w:b/>
          <w:color w:val="000000"/>
          <w:sz w:val="19"/>
        </w:rPr>
        <w:t>Australian Prudential Regulation Authority</w:t>
      </w:r>
      <w:r>
        <w:rPr>
          <w:rFonts w:ascii="Arial" w:hAnsi="Arial"/>
          <w:color w:val="000000"/>
          <w:sz w:val="19"/>
        </w:rPr>
        <w:t xml:space="preserve"> — </w:t>
      </w:r>
      <w:r>
        <w:rPr>
          <w:rFonts w:ascii="Arial" w:hAnsi="Arial"/>
          <w:color w:val="000000"/>
          <w:sz w:val="19"/>
        </w:rPr>
        <w:t>APRA issued an industry letter setting prudential expectations for the management and governance of AI risks across regulated financial institutions.</w:t>
      </w:r>
      <w:r>
        <w:rPr>
          <w:rFonts w:ascii="Arial" w:hAnsi="Arial"/>
          <w:color w:val="000000"/>
          <w:sz w:val="19"/>
        </w:rPr>
        <w:t xml:space="preserve"> (</w:t>
      </w:r>
      <w:hyperlink r:id="rId1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National Disability Insurance Agency</w:t>
      </w:r>
      <w:r>
        <w:rPr>
          <w:rFonts w:ascii="Arial" w:hAnsi="Arial"/>
          <w:color w:val="000000"/>
          <w:sz w:val="19"/>
        </w:rPr>
        <w:t xml:space="preserve"> — </w:t>
      </w:r>
      <w:r>
        <w:rPr>
          <w:rFonts w:ascii="Arial" w:hAnsi="Arial"/>
          <w:color w:val="000000"/>
          <w:sz w:val="19"/>
        </w:rPr>
        <w:t>The NDIA is advancing proposed access rules that would require participants to exhaust all appropriate treatment options before becoming eligible for scheme supports.</w:t>
      </w:r>
      <w:r>
        <w:rPr>
          <w:rFonts w:ascii="Arial" w:hAnsi="Arial"/>
          <w:color w:val="000000"/>
          <w:sz w:val="19"/>
        </w:rPr>
        <w:t xml:space="preserve"> (</w:t>
      </w:r>
      <w:hyperlink r:id="rId1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Tertiary Education Quality and Standards Agency</w:t>
      </w:r>
      <w:r>
        <w:rPr>
          <w:rFonts w:ascii="Arial" w:hAnsi="Arial"/>
          <w:color w:val="000000"/>
          <w:sz w:val="19"/>
        </w:rPr>
        <w:t xml:space="preserve"> — </w:t>
      </w:r>
      <w:r>
        <w:rPr>
          <w:rFonts w:ascii="Arial" w:hAnsi="Arial"/>
          <w:color w:val="000000"/>
          <w:sz w:val="19"/>
        </w:rPr>
        <w:t>TEQSA has been publicly warned over the scope and conduct of its regulatory intervention at the Australian National University.</w:t>
      </w:r>
      <w:r>
        <w:rPr>
          <w:rFonts w:ascii="Arial" w:hAnsi="Arial"/>
          <w:color w:val="000000"/>
          <w:sz w:val="19"/>
        </w:rPr>
        <w:t xml:space="preserve"> (</w:t>
      </w:r>
      <w:hyperlink r:id="rId1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Competition and Consumer Commission</w:t>
      </w:r>
      <w:r>
        <w:rPr>
          <w:rFonts w:ascii="Arial" w:hAnsi="Arial"/>
          <w:color w:val="000000"/>
          <w:sz w:val="19"/>
        </w:rPr>
        <w:t xml:space="preserve"> — </w:t>
      </w:r>
      <w:r>
        <w:rPr>
          <w:rFonts w:ascii="Arial" w:hAnsi="Arial"/>
          <w:color w:val="000000"/>
          <w:sz w:val="19"/>
        </w:rPr>
        <w:t>The ACCC welcomed an additional $67.7 million in Budget funding to expand enforcement and pursue more consumer law breaches.</w:t>
      </w:r>
      <w:r>
        <w:rPr>
          <w:rFonts w:ascii="Arial" w:hAnsi="Arial"/>
          <w:color w:val="000000"/>
          <w:sz w:val="19"/>
        </w:rPr>
        <w:t xml:space="preserve"> (</w:t>
      </w:r>
      <w:hyperlink r:id="rId1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Victoria convened community engagement on the multi-million dollar Veolia enforcement payout to affected residents.</w:t>
      </w:r>
      <w:r>
        <w:rPr>
          <w:rFonts w:ascii="Arial" w:hAnsi="Arial"/>
          <w:color w:val="000000"/>
          <w:sz w:val="19"/>
        </w:rPr>
        <w:t xml:space="preserve"> (</w:t>
      </w:r>
      <w:hyperlink r:id="rId1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Defence</w:t>
      </w:r>
      <w:r>
        <w:rPr>
          <w:rFonts w:ascii="Arial" w:hAnsi="Arial"/>
          <w:color w:val="000000"/>
          <w:sz w:val="19"/>
        </w:rPr>
        <w:t xml:space="preserve"> — </w:t>
      </w:r>
      <w:r>
        <w:rPr>
          <w:rFonts w:ascii="Arial" w:hAnsi="Arial"/>
          <w:color w:val="000000"/>
          <w:sz w:val="19"/>
        </w:rPr>
        <w:t>Defence's 2026 Budget leaves $17.4 billion of programmed spending uplift unallocated, signalling further capability decisions still to come.</w:t>
      </w:r>
      <w:r>
        <w:rPr>
          <w:rFonts w:ascii="Arial" w:hAnsi="Arial"/>
          <w:color w:val="000000"/>
          <w:sz w:val="19"/>
        </w:rPr>
        <w:t xml:space="preserve"> (</w:t>
      </w:r>
      <w:hyperlink r:id="rId1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Transport Safety Bureau</w:t>
      </w:r>
      <w:r>
        <w:rPr>
          <w:rFonts w:ascii="Arial" w:hAnsi="Arial"/>
          <w:color w:val="000000"/>
          <w:sz w:val="19"/>
        </w:rPr>
        <w:t xml:space="preserve"> — </w:t>
      </w:r>
      <w:r>
        <w:rPr>
          <w:rFonts w:ascii="Arial" w:hAnsi="Arial"/>
          <w:color w:val="000000"/>
          <w:sz w:val="19"/>
        </w:rPr>
        <w:t>The ATSB published analysis of interviews with Australian aerial firefighting agencies and operators on aviation safety risks.</w:t>
      </w:r>
      <w:r>
        <w:rPr>
          <w:rFonts w:ascii="Arial" w:hAnsi="Arial"/>
          <w:color w:val="000000"/>
          <w:sz w:val="19"/>
        </w:rPr>
        <w:t xml:space="preserve"> (</w:t>
      </w:r>
      <w:hyperlink r:id="rId1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Transaction Reports and Analysis Centre</w:t>
      </w:r>
      <w:r>
        <w:rPr>
          <w:rFonts w:ascii="Arial" w:hAnsi="Arial"/>
          <w:color w:val="000000"/>
          <w:sz w:val="19"/>
        </w:rPr>
        <w:t xml:space="preserve"> — </w:t>
      </w:r>
      <w:r>
        <w:rPr>
          <w:rFonts w:ascii="Arial" w:hAnsi="Arial"/>
          <w:color w:val="000000"/>
          <w:sz w:val="19"/>
        </w:rPr>
        <w:t>AUSTRAC released registration questions and guidance for virtual asset service providers ahead of expanded AML/CTF obligations.</w:t>
      </w:r>
      <w:r>
        <w:rPr>
          <w:rFonts w:ascii="Arial" w:hAnsi="Arial"/>
          <w:color w:val="000000"/>
          <w:sz w:val="19"/>
        </w:rPr>
        <w:t xml:space="preserve"> (</w:t>
      </w:r>
      <w:hyperlink r:id="rId1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Taxation Office</w:t>
      </w:r>
      <w:r>
        <w:rPr>
          <w:rFonts w:ascii="Arial" w:hAnsi="Arial"/>
          <w:color w:val="000000"/>
          <w:sz w:val="19"/>
        </w:rPr>
        <w:t xml:space="preserve"> — </w:t>
      </w:r>
      <w:r>
        <w:rPr>
          <w:rFonts w:ascii="Arial" w:hAnsi="Arial"/>
          <w:color w:val="000000"/>
          <w:sz w:val="19"/>
        </w:rPr>
        <w:t>The ATO flagged tax reform introducing a minimum tax on discretionary trusts, signalling tighter integrity settings for private wealth structures.</w:t>
      </w:r>
      <w:r>
        <w:rPr>
          <w:rFonts w:ascii="Arial" w:hAnsi="Arial"/>
          <w:color w:val="000000"/>
          <w:sz w:val="19"/>
        </w:rPr>
        <w:t xml:space="preserve"> (</w:t>
      </w:r>
      <w:hyperlink r:id="rId1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the Treasury</w:t>
      </w:r>
      <w:r>
        <w:rPr>
          <w:rFonts w:ascii="Arial" w:hAnsi="Arial"/>
          <w:color w:val="000000"/>
          <w:sz w:val="19"/>
        </w:rPr>
        <w:t xml:space="preserve"> — </w:t>
      </w:r>
      <w:r>
        <w:rPr>
          <w:rFonts w:ascii="Arial" w:hAnsi="Arial"/>
          <w:color w:val="000000"/>
          <w:sz w:val="19"/>
        </w:rPr>
        <w:t>Treasury is progressing payments system modernisation reforms, setting out readiness expectations for licensed payment service providers.</w:t>
      </w:r>
      <w:r>
        <w:rPr>
          <w:rFonts w:ascii="Arial" w:hAnsi="Arial"/>
          <w:color w:val="000000"/>
          <w:sz w:val="19"/>
        </w:rPr>
        <w:t xml:space="preserve"> (</w:t>
      </w:r>
      <w:hyperlink r:id="rId19">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Securities and Investments Commission</w:t>
      </w:r>
      <w:r>
        <w:rPr>
          <w:rFonts w:ascii="Arial" w:hAnsi="Arial"/>
          <w:color w:val="000000"/>
          <w:sz w:val="19"/>
        </w:rPr>
        <w:t xml:space="preserve"> — </w:t>
      </w:r>
      <w:r>
        <w:rPr>
          <w:rFonts w:ascii="Arial" w:hAnsi="Arial"/>
          <w:color w:val="000000"/>
          <w:sz w:val="19"/>
        </w:rPr>
        <w:t>ASIC is investigating DroneShield over continuous disclosure compliance and share trading by insiders.</w:t>
      </w:r>
      <w:r>
        <w:rPr>
          <w:rFonts w:ascii="Arial" w:hAnsi="Arial"/>
          <w:color w:val="000000"/>
          <w:sz w:val="19"/>
        </w:rPr>
        <w:t xml:space="preserve"> (</w:t>
      </w:r>
      <w:hyperlink r:id="rId2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Transaction Reports and Analysis Centre</w:t>
      </w:r>
      <w:r>
        <w:rPr>
          <w:rFonts w:ascii="Arial" w:hAnsi="Arial"/>
          <w:color w:val="000000"/>
          <w:sz w:val="19"/>
        </w:rPr>
        <w:t xml:space="preserve"> — </w:t>
      </w:r>
      <w:r>
        <w:rPr>
          <w:rFonts w:ascii="Arial" w:hAnsi="Arial"/>
          <w:color w:val="000000"/>
          <w:sz w:val="19"/>
        </w:rPr>
        <w:t>AUSTRAC published its Money Laundering Update 2026, refreshing typologies and supervisory priorities for reporting entities.</w:t>
      </w:r>
      <w:r>
        <w:rPr>
          <w:rFonts w:ascii="Arial" w:hAnsi="Arial"/>
          <w:color w:val="000000"/>
          <w:sz w:val="19"/>
        </w:rPr>
        <w:t xml:space="preserve"> (</w:t>
      </w:r>
      <w:hyperlink r:id="rId21">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Our clients in the news</w:t>
      </w:r>
    </w:p>
    <w:p>
      <w:pPr>
        <w:pStyle w:val="body_letter"/>
      </w:pPr>
      <w:r>
        <w:rPr>
          <w:rFonts w:ascii="Arial" w:hAnsi="Arial"/>
          <w:b/>
          <w:color w:val="000000"/>
          <w:sz w:val="19"/>
        </w:rPr>
        <w:t>Victoria</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wins Supreme Court appeal on Landfill Levy</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blitz on rogue skip bin operators</w:t>
      </w:r>
    </w:p>
    <w:p>
      <w:pPr>
        <w:pStyle w:val="ListBullet"/>
      </w:pPr>
      <w:r>
        <w:rPr>
          <w:rFonts w:ascii="Arial" w:hAnsi="Arial"/>
          <w:b/>
          <w:color w:val="000000"/>
          <w:sz w:val="19"/>
        </w:rPr>
        <w:t>Victorian Building Authority</w:t>
      </w:r>
      <w:r>
        <w:rPr>
          <w:rFonts w:ascii="Arial" w:hAnsi="Arial"/>
          <w:color w:val="000000"/>
          <w:sz w:val="19"/>
        </w:rPr>
        <w:t xml:space="preserve"> — </w:t>
      </w:r>
      <w:r>
        <w:rPr>
          <w:rFonts w:ascii="Arial" w:hAnsi="Arial"/>
          <w:color w:val="000000"/>
          <w:sz w:val="19"/>
        </w:rPr>
        <w:t>VBA publishes NCC 2025 amended variations</w:t>
      </w:r>
    </w:p>
    <w:p>
      <w:pPr>
        <w:pStyle w:val="body_letter"/>
      </w:pPr>
      <w:r>
        <w:rPr>
          <w:rFonts w:ascii="Arial" w:hAnsi="Arial"/>
          <w:b/>
          <w:color w:val="000000"/>
          <w:sz w:val="19"/>
        </w:rPr>
        <w:t>Commonwealth</w:t>
      </w:r>
    </w:p>
    <w:p>
      <w:pPr>
        <w:pStyle w:val="ListBullet"/>
      </w:pPr>
      <w:r>
        <w:rPr>
          <w:rFonts w:ascii="Arial" w:hAnsi="Arial"/>
          <w:b/>
          <w:color w:val="000000"/>
          <w:sz w:val="19"/>
        </w:rPr>
        <w:t>Australian Competition and Consumer Commission</w:t>
      </w:r>
      <w:r>
        <w:rPr>
          <w:rFonts w:ascii="Arial" w:hAnsi="Arial"/>
          <w:color w:val="000000"/>
          <w:sz w:val="19"/>
        </w:rPr>
        <w:t xml:space="preserve"> — </w:t>
      </w:r>
      <w:r>
        <w:rPr>
          <w:rFonts w:ascii="Arial" w:hAnsi="Arial"/>
          <w:color w:val="000000"/>
          <w:sz w:val="19"/>
        </w:rPr>
        <w:t>ACCC welcomes A$67.7m enforcement funding boost</w:t>
      </w:r>
    </w:p>
    <w:p>
      <w:pPr>
        <w:pStyle w:val="ListBullet"/>
      </w:pPr>
      <w:r>
        <w:rPr>
          <w:rFonts w:ascii="Arial" w:hAnsi="Arial"/>
          <w:b/>
          <w:color w:val="000000"/>
          <w:sz w:val="19"/>
        </w:rPr>
        <w:t>Australian Energy Regulator</w:t>
      </w:r>
      <w:r>
        <w:rPr>
          <w:rFonts w:ascii="Arial" w:hAnsi="Arial"/>
          <w:color w:val="000000"/>
          <w:sz w:val="19"/>
        </w:rPr>
        <w:t xml:space="preserve"> — </w:t>
      </w:r>
      <w:r>
        <w:rPr>
          <w:rFonts w:ascii="Arial" w:hAnsi="Arial"/>
          <w:color w:val="000000"/>
          <w:sz w:val="19"/>
        </w:rPr>
        <w:t>AER releases inaugural wholesale gas market performance report</w:t>
      </w:r>
      <w:r>
        <w:rPr>
          <w:rFonts w:ascii="Arial" w:hAnsi="Arial"/>
          <w:color w:val="000000"/>
          <w:sz w:val="19"/>
        </w:rPr>
        <w:t xml:space="preserve"> (</w:t>
      </w:r>
      <w:hyperlink r:id="rId2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National Disability Insurance Agency</w:t>
      </w:r>
      <w:r>
        <w:rPr>
          <w:rFonts w:ascii="Arial" w:hAnsi="Arial"/>
          <w:color w:val="000000"/>
          <w:sz w:val="19"/>
        </w:rPr>
        <w:t xml:space="preserve"> — </w:t>
      </w:r>
      <w:r>
        <w:rPr>
          <w:rFonts w:ascii="Arial" w:hAnsi="Arial"/>
          <w:color w:val="000000"/>
          <w:sz w:val="19"/>
        </w:rPr>
        <w:t>Proposed NDIS rules require exhausting 'all appropriate' treatments</w:t>
      </w:r>
    </w:p>
    <w:p>
      <w:pPr>
        <w:pStyle w:val="body_letter"/>
      </w:pPr>
      <w:r>
        <w:rPr>
          <w:rFonts w:ascii="Arial" w:hAnsi="Arial"/>
          <w:b/>
          <w:color w:val="000000"/>
          <w:sz w:val="19"/>
        </w:rPr>
        <w:t>New South Wales</w:t>
      </w:r>
    </w:p>
    <w:p>
      <w:pPr>
        <w:pStyle w:val="ListBullet"/>
      </w:pPr>
      <w:r>
        <w:rPr>
          <w:rFonts w:ascii="Arial" w:hAnsi="Arial"/>
          <w:b/>
          <w:color w:val="000000"/>
          <w:sz w:val="19"/>
        </w:rPr>
        <w:t>State Insurance Regulatory Authority</w:t>
      </w:r>
      <w:r>
        <w:rPr>
          <w:rFonts w:ascii="Arial" w:hAnsi="Arial"/>
          <w:color w:val="000000"/>
          <w:sz w:val="19"/>
        </w:rPr>
        <w:t xml:space="preserve"> — </w:t>
      </w:r>
      <w:r>
        <w:rPr>
          <w:rFonts w:ascii="Arial" w:hAnsi="Arial"/>
          <w:color w:val="000000"/>
          <w:sz w:val="19"/>
        </w:rPr>
        <w:t>SIRA sets two-year timeline to reshape injury health provider rules</w:t>
      </w:r>
    </w:p>
    <w:p>
      <w:pPr>
        <w:pStyle w:val="ListBullet"/>
      </w:pPr>
      <w:r>
        <w:rPr>
          <w:rFonts w:ascii="Arial" w:hAnsi="Arial"/>
          <w:b/>
          <w:color w:val="000000"/>
          <w:sz w:val="19"/>
        </w:rPr>
        <w:t>Independent Commission Against Corruption</w:t>
      </w:r>
      <w:r>
        <w:rPr>
          <w:rFonts w:ascii="Arial" w:hAnsi="Arial"/>
          <w:color w:val="000000"/>
          <w:sz w:val="19"/>
        </w:rPr>
        <w:t xml:space="preserve"> — </w:t>
      </w:r>
      <w:r>
        <w:rPr>
          <w:rFonts w:ascii="Arial" w:hAnsi="Arial"/>
          <w:color w:val="000000"/>
          <w:sz w:val="19"/>
        </w:rPr>
        <w:t>ICAC opens 'Pink Ops' public hearings</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ListBullet"/>
      </w:pPr>
      <w:r>
        <w:rPr>
          <w:rFonts w:ascii="Arial" w:hAnsi="Arial"/>
          <w:b/>
          <w:color w:val="000000"/>
          <w:sz w:val="19"/>
        </w:rPr>
        <w:t>AER flags wholesale gas market performance concerns</w:t>
      </w:r>
      <w:r>
        <w:rPr>
          <w:rFonts w:ascii="Arial" w:hAnsi="Arial"/>
          <w:color w:val="000000"/>
          <w:sz w:val="19"/>
        </w:rPr>
        <w:t xml:space="preserve"> — </w:t>
      </w:r>
      <w:r>
        <w:rPr>
          <w:rFonts w:ascii="Arial" w:hAnsi="Arial"/>
          <w:color w:val="000000"/>
          <w:sz w:val="19"/>
        </w:rPr>
        <w:t>The Australian Energy Regulator has released its inaugural report into wholesale gas market performance, signalling closer scrutiny of pricing, supply tightness and conduct as the east coast market…</w:t>
      </w:r>
    </w:p>
    <w:p>
      <w:pPr>
        <w:pStyle w:val="ListBullet"/>
      </w:pPr>
      <w:r>
        <w:rPr>
          <w:rFonts w:ascii="Arial" w:hAnsi="Arial"/>
          <w:b/>
          <w:color w:val="000000"/>
          <w:sz w:val="19"/>
        </w:rPr>
        <w:t>AMCS warns proposed National Environmental Standards will fail</w:t>
      </w:r>
      <w:r>
        <w:rPr>
          <w:rFonts w:ascii="Arial" w:hAnsi="Arial"/>
          <w:color w:val="000000"/>
          <w:sz w:val="19"/>
        </w:rPr>
        <w:t xml:space="preserve"> — </w:t>
      </w:r>
      <w:r>
        <w:rPr>
          <w:rFonts w:ascii="Arial" w:hAnsi="Arial"/>
          <w:color w:val="000000"/>
          <w:sz w:val="19"/>
        </w:rPr>
        <w:t>The Australian Marine Conservation Society has flagged that the Federal Government's proposed National Environmental Standards will fail to deliver intended biodiversity and climate protections,…</w:t>
      </w:r>
      <w:r>
        <w:rPr>
          <w:rFonts w:ascii="Arial" w:hAnsi="Arial"/>
          <w:color w:val="000000"/>
          <w:sz w:val="19"/>
        </w:rPr>
        <w:t xml:space="preserve"> (</w:t>
      </w:r>
      <w:hyperlink r:id="rId2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Ahpra targets racism and discrimination in healthcare</w:t>
      </w:r>
      <w:r>
        <w:rPr>
          <w:rFonts w:ascii="Arial" w:hAnsi="Arial"/>
          <w:color w:val="000000"/>
          <w:sz w:val="19"/>
        </w:rPr>
        <w:t xml:space="preserve"> — </w:t>
      </w:r>
      <w:r>
        <w:rPr>
          <w:rFonts w:ascii="Arial" w:hAnsi="Arial"/>
          <w:color w:val="000000"/>
          <w:sz w:val="19"/>
        </w:rPr>
        <w:t>The Australian Health Practitioner Regulation Agency has set out new expectations on eliminating racism and discrimination from healthcare, signalling a cultural-safety lens across registration,…</w:t>
      </w:r>
      <w:r>
        <w:rPr>
          <w:rFonts w:ascii="Arial" w:hAnsi="Arial"/>
          <w:color w:val="000000"/>
          <w:sz w:val="19"/>
        </w:rPr>
        <w:t xml:space="preserve"> (</w:t>
      </w:r>
      <w:hyperlink r:id="rId2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Inspector-General of Aged Care resigns</w:t>
      </w:r>
      <w:r>
        <w:rPr>
          <w:rFonts w:ascii="Arial" w:hAnsi="Arial"/>
          <w:color w:val="000000"/>
          <w:sz w:val="19"/>
        </w:rPr>
        <w:t xml:space="preserve"> — </w:t>
      </w:r>
      <w:r>
        <w:rPr>
          <w:rFonts w:ascii="Arial" w:hAnsi="Arial"/>
          <w:color w:val="000000"/>
          <w:sz w:val="19"/>
        </w:rPr>
        <w:t>The resignation of the Inspector-General of Aged Care raises immediate oversight and continuity risks for families and providers as the new Aged Care Act bedding-in continues.</w:t>
      </w:r>
      <w:r>
        <w:rPr>
          <w:rFonts w:ascii="Arial" w:hAnsi="Arial"/>
          <w:color w:val="000000"/>
          <w:sz w:val="19"/>
        </w:rPr>
        <w:t xml:space="preserve"> (</w:t>
      </w:r>
      <w:hyperlink r:id="rId25">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AI adoption</w:t>
      </w:r>
    </w:p>
    <w:p>
      <w:pPr>
        <w:pStyle w:val="ListBullet"/>
      </w:pPr>
      <w:r>
        <w:rPr>
          <w:rFonts w:ascii="Arial" w:hAnsi="Arial"/>
          <w:b/>
          <w:color w:val="000000"/>
          <w:sz w:val="19"/>
        </w:rPr>
        <w:t>ASIC calls for urgent cyber uplift as AI accelerates threats</w:t>
      </w:r>
      <w:r>
        <w:rPr>
          <w:rFonts w:ascii="Arial" w:hAnsi="Arial"/>
          <w:color w:val="000000"/>
          <w:sz w:val="19"/>
        </w:rPr>
        <w:t xml:space="preserve"> — </w:t>
      </w:r>
      <w:r>
        <w:rPr>
          <w:rFonts w:ascii="Arial" w:hAnsi="Arial"/>
          <w:color w:val="000000"/>
          <w:sz w:val="19"/>
        </w:rPr>
        <w:t>ASIC has called on AFS licensees and market participants to urgently uplift cyber resilience as generative AI accelerates the scale, speed and sophistication of cyber attacks on the financial system.</w:t>
      </w:r>
      <w:r>
        <w:rPr>
          <w:rFonts w:ascii="Arial" w:hAnsi="Arial"/>
          <w:color w:val="000000"/>
          <w:sz w:val="19"/>
        </w:rPr>
        <w:t xml:space="preserve"> (</w:t>
      </w:r>
      <w:hyperlink r:id="rId2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APRA warns banks frontier AI could supercharge cyber attacks</w:t>
      </w:r>
      <w:r>
        <w:rPr>
          <w:rFonts w:ascii="Arial" w:hAnsi="Arial"/>
          <w:color w:val="000000"/>
          <w:sz w:val="19"/>
        </w:rPr>
        <w:t xml:space="preserve"> — </w:t>
      </w:r>
      <w:r>
        <w:rPr>
          <w:rFonts w:ascii="Arial" w:hAnsi="Arial"/>
          <w:color w:val="000000"/>
          <w:sz w:val="19"/>
        </w:rPr>
        <w:t>Australian banks have been warned that frontier AI could create larger and faster cyber attacks, prompting regulators to push for stronger board-level governance, model risk controls and incident…</w:t>
      </w:r>
      <w:r>
        <w:rPr>
          <w:rFonts w:ascii="Arial" w:hAnsi="Arial"/>
          <w:color w:val="000000"/>
          <w:sz w:val="19"/>
        </w:rPr>
        <w:t xml:space="preserve"> (</w:t>
      </w:r>
      <w:hyperlink r:id="rId2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TEQSA releases updated academic integrity resources for AI era</w:t>
      </w:r>
      <w:r>
        <w:rPr>
          <w:rFonts w:ascii="Arial" w:hAnsi="Arial"/>
          <w:color w:val="000000"/>
          <w:sz w:val="19"/>
        </w:rPr>
        <w:t xml:space="preserve"> — </w:t>
      </w:r>
      <w:r>
        <w:rPr>
          <w:rFonts w:ascii="Arial" w:hAnsi="Arial"/>
          <w:color w:val="000000"/>
          <w:sz w:val="19"/>
        </w:rPr>
        <w:t>TEQSA has released new and updated academic integrity resources to help higher education providers respond to generative AI risks in assessment, contract cheating and investigations.</w:t>
      </w:r>
      <w:r>
        <w:rPr>
          <w:rFonts w:ascii="Arial" w:hAnsi="Arial"/>
          <w:color w:val="000000"/>
          <w:sz w:val="19"/>
        </w:rPr>
        <w:t xml:space="preserve"> (</w:t>
      </w:r>
      <w:hyperlink r:id="rId28">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Regulatory burden</w:t>
      </w:r>
    </w:p>
    <w:p>
      <w:pPr>
        <w:pStyle w:val="ListBullet"/>
      </w:pPr>
      <w:r>
        <w:rPr>
          <w:rFonts w:ascii="Arial" w:hAnsi="Arial"/>
          <w:b/>
          <w:color w:val="000000"/>
          <w:sz w:val="19"/>
        </w:rPr>
        <w:t>Federal Budget targets $13b productivity boost</w:t>
      </w:r>
      <w:r>
        <w:rPr>
          <w:rFonts w:ascii="Arial" w:hAnsi="Arial"/>
          <w:color w:val="000000"/>
          <w:sz w:val="19"/>
        </w:rPr>
        <w:t xml:space="preserve"> — </w:t>
      </w:r>
      <w:r>
        <w:rPr>
          <w:rFonts w:ascii="Arial" w:hAnsi="Arial"/>
          <w:color w:val="000000"/>
          <w:sz w:val="19"/>
        </w:rPr>
        <w:t>The Federal Budget's productivity package targets a $13 billion economic boost through regulatory simplification, faster approvals and consolidated regulator effort across infrastructure, housing…</w:t>
      </w:r>
      <w:r>
        <w:rPr>
          <w:rFonts w:ascii="Arial" w:hAnsi="Arial"/>
          <w:color w:val="000000"/>
          <w:sz w:val="19"/>
        </w:rPr>
        <w:t xml:space="preserve"> (</w:t>
      </w:r>
      <w:hyperlink r:id="rId29">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 moves to slash renewable energy approval times</w:t>
      </w:r>
      <w:r>
        <w:rPr>
          <w:rFonts w:ascii="Arial" w:hAnsi="Arial"/>
          <w:color w:val="000000"/>
          <w:sz w:val="19"/>
        </w:rPr>
        <w:t xml:space="preserve"> — </w:t>
      </w:r>
      <w:r>
        <w:rPr>
          <w:rFonts w:ascii="Arial" w:hAnsi="Arial"/>
          <w:color w:val="000000"/>
          <w:sz w:val="19"/>
        </w:rPr>
        <w:t>The Federal Government is moving to slash renewable energy project approval times, signalling pipeline acceleration across environmental, planning and grid-connection regulators.</w:t>
      </w:r>
      <w:r>
        <w:rPr>
          <w:rFonts w:ascii="Arial" w:hAnsi="Arial"/>
          <w:color w:val="000000"/>
          <w:sz w:val="19"/>
        </w:rPr>
        <w:t xml:space="preserve"> (</w:t>
      </w:r>
      <w:hyperlink r:id="rId3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NSW overhauls building laws for modern construction methods</w:t>
      </w:r>
      <w:r>
        <w:rPr>
          <w:rFonts w:ascii="Arial" w:hAnsi="Arial"/>
          <w:color w:val="000000"/>
          <w:sz w:val="19"/>
        </w:rPr>
        <w:t xml:space="preserve"> — </w:t>
      </w:r>
      <w:r>
        <w:rPr>
          <w:rFonts w:ascii="Arial" w:hAnsi="Arial"/>
          <w:color w:val="000000"/>
          <w:sz w:val="19"/>
        </w:rPr>
        <w:t>The NSW Government has introduced new building laws to enable a new era of approvals and modern methods of construction, recasting regulator roles around prefabrication, certification and…</w:t>
      </w:r>
      <w:r>
        <w:rPr>
          <w:rFonts w:ascii="Arial" w:hAnsi="Arial"/>
          <w:color w:val="000000"/>
          <w:sz w:val="19"/>
        </w:rPr>
        <w:t xml:space="preserve"> (</w:t>
      </w:r>
      <w:hyperlink r:id="rId31">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Training, conferences, webinars &amp; in-person sessions</w:t>
      </w:r>
    </w:p>
    <w:p>
      <w:pPr>
        <w:pStyle w:val="ListBullet"/>
      </w:pPr>
      <w:r>
        <w:rPr>
          <w:rFonts w:ascii="Arial" w:hAnsi="Arial"/>
          <w:b/>
          <w:color w:val="000000"/>
          <w:sz w:val="19"/>
        </w:rPr>
        <w:t>AICD Boards &amp; Regulators Lunch — Sydney</w:t>
      </w:r>
      <w:r>
        <w:rPr>
          <w:rFonts w:ascii="Arial" w:hAnsi="Arial"/>
          <w:color w:val="000000"/>
          <w:sz w:val="19"/>
        </w:rPr>
        <w:t xml:space="preserve"> — </w:t>
      </w:r>
      <w:r>
        <w:rPr>
          <w:rFonts w:ascii="Arial" w:hAnsi="Arial"/>
          <w:color w:val="000000"/>
          <w:sz w:val="19"/>
        </w:rPr>
        <w:t>22 May 2026 — AICD · Sydney</w:t>
      </w:r>
    </w:p>
    <w:p>
      <w:pPr>
        <w:pStyle w:val="ListBullet"/>
      </w:pPr>
      <w:r>
        <w:rPr>
          <w:rFonts w:ascii="Arial" w:hAnsi="Arial"/>
          <w:b/>
          <w:color w:val="000000"/>
          <w:sz w:val="19"/>
        </w:rPr>
        <w:t>All Actuaries Summit 2026</w:t>
      </w:r>
      <w:r>
        <w:rPr>
          <w:rFonts w:ascii="Arial" w:hAnsi="Arial"/>
          <w:color w:val="000000"/>
          <w:sz w:val="19"/>
        </w:rPr>
        <w:t xml:space="preserve"> — </w:t>
      </w:r>
      <w:r>
        <w:rPr>
          <w:rFonts w:ascii="Arial" w:hAnsi="Arial"/>
          <w:color w:val="000000"/>
          <w:sz w:val="19"/>
        </w:rPr>
        <w:t>27 May 2026 — APRA · Online</w:t>
      </w:r>
      <w:r>
        <w:rPr>
          <w:rFonts w:ascii="Arial" w:hAnsi="Arial"/>
          <w:color w:val="000000"/>
          <w:sz w:val="19"/>
        </w:rPr>
        <w:t xml:space="preserve"> (</w:t>
      </w:r>
      <w:hyperlink r:id="rId32">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VIC Cyber Regulator Industry Briefing</w:t>
      </w:r>
      <w:r>
        <w:rPr>
          <w:rFonts w:ascii="Arial" w:hAnsi="Arial"/>
          <w:color w:val="000000"/>
          <w:sz w:val="19"/>
        </w:rPr>
        <w:t xml:space="preserve"> — </w:t>
      </w:r>
      <w:r>
        <w:rPr>
          <w:rFonts w:ascii="Arial" w:hAnsi="Arial"/>
          <w:color w:val="000000"/>
          <w:sz w:val="19"/>
        </w:rPr>
        <w:t>04 Jun 2026 — Office of the Victorian Information Commissioner · Melbourne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33"/>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nortonrosefulbright.com/en/inside-fintech/blog/2026/05/ai-risks-in-australia-apra-issues-letter-on-management-and-governance" TargetMode="External"/><Relationship Id="rId11" Type="http://schemas.openxmlformats.org/officeDocument/2006/relationships/hyperlink" Target="https://www.theguardian.com/australia-news/2026/may/13/australians-may-only-be-able-to-access-ndis-if-all-appropriate-treatment-options-exhausted-documents-reveal" TargetMode="External"/><Relationship Id="rId12" Type="http://schemas.openxmlformats.org/officeDocument/2006/relationships/hyperlink" Target="https://www.afr.com/work-and-careers/education/higher-education-regulator-warned-over-anu-intervention-20260513-p5zw99" TargetMode="External"/><Relationship Id="rId13" Type="http://schemas.openxmlformats.org/officeDocument/2006/relationships/hyperlink" Target="https://www.accc.gov.au/media-release/accc-welcomes-additional-funding" TargetMode="External"/><Relationship Id="rId14" Type="http://schemas.openxmlformats.org/officeDocument/2006/relationships/hyperlink" Target="https://www.epa.vic.gov.au/community-gathers-discuss-million-dollar-veolia-payout" TargetMode="External"/><Relationship Id="rId15" Type="http://schemas.openxmlformats.org/officeDocument/2006/relationships/hyperlink" Target="https://www.aspistrategist.org.au/2026-defence-budget-a17-4-billion-in-spending-uplift-still-undecided/" TargetMode="External"/><Relationship Id="rId16" Type="http://schemas.openxmlformats.org/officeDocument/2006/relationships/hyperlink" Target="https://www.atsb.gov.au/investigations/as-2021-015a" TargetMode="External"/><Relationship Id="rId17" Type="http://schemas.openxmlformats.org/officeDocument/2006/relationships/hyperlink" Target="https://www.austrac.gov.au/new-austrac/register-us/registration-questions-virtual-asset-service-provider" TargetMode="External"/><Relationship Id="rId18" Type="http://schemas.openxmlformats.org/officeDocument/2006/relationships/hyperlink" Target="https://www.ato.gov.au/about-ato/new-legislation/in-detail/businesses/tax-reform-introducing-a-minimum-tax-on-discretionary-trusts" TargetMode="External"/><Relationship Id="rId19" Type="http://schemas.openxmlformats.org/officeDocument/2006/relationships/hyperlink" Target="https://www.ashurst.com/en/insights/treasury-payments-modernisation-reforms-what-it-really-takes-to-be-ready/" TargetMode="External"/><Relationship Id="rId20" Type="http://schemas.openxmlformats.org/officeDocument/2006/relationships/hyperlink" Target="https://www.afr.com/technology/droneshield-under-asic-investigation-over-disclosures-share-trading-20260512-p5zvy3" TargetMode="External"/><Relationship Id="rId21" Type="http://schemas.openxmlformats.org/officeDocument/2006/relationships/hyperlink" Target="https://www.austrac.gov.au/industry-and-business/education-and-resources/publications-and-resources/money-laundering-update-2026" TargetMode="External"/><Relationship Id="rId22" Type="http://schemas.openxmlformats.org/officeDocument/2006/relationships/hyperlink" Target="https://www.aer.gov.au/news/articles/communications/aer-releases-inaugural-report-wholesale-gas-market-performance" TargetMode="External"/><Relationship Id="rId23" Type="http://schemas.openxmlformats.org/officeDocument/2006/relationships/hyperlink" Target="https://www.ausleisure.com.au/news/amcs-flags-failure-of-federal-governments-proposed-national-environmental-standards" TargetMode="External"/><Relationship Id="rId24" Type="http://schemas.openxmlformats.org/officeDocument/2006/relationships/hyperlink" Target="https://www.ahpra.gov.au/Eliminating-racism-and-discrimination.aspx" TargetMode="External"/><Relationship Id="rId25" Type="http://schemas.openxmlformats.org/officeDocument/2006/relationships/hyperlink" Target="https://www.agedcareguide.com.au/talking-aged-care/inspector-general-of-aged-care-resigns-what-it-means-for-families" TargetMode="External"/><Relationship Id="rId26" Type="http://schemas.openxmlformats.org/officeDocument/2006/relationships/hyperlink" Target="https://www.asic.gov.au/about-asic/news-centre/find-a-media-release/2026-releases/26-092mr-asic-calls-for-urgent-cyber-uplift-as-ai-accelerates-cyber-threats/" TargetMode="External"/><Relationship Id="rId27" Type="http://schemas.openxmlformats.org/officeDocument/2006/relationships/hyperlink" Target="https://kfgo.com/2026/04/29/australia-calls-for-stronger-ai-risk-controls-at-financial-firms/" TargetMode="External"/><Relationship Id="rId28" Type="http://schemas.openxmlformats.org/officeDocument/2006/relationships/hyperlink" Target="https://www.teqsa.gov.au/about-us/news-and-events/latest-news/new-and-updated-academic-integrity-resources-now-available" TargetMode="External"/><Relationship Id="rId29" Type="http://schemas.openxmlformats.org/officeDocument/2006/relationships/hyperlink" Target="https://www.afr.com/policy/economy/budget-productivity-package-to-target-13b-economic-boost-20260508-p5zuz8" TargetMode="External"/><Relationship Id="rId30" Type="http://schemas.openxmlformats.org/officeDocument/2006/relationships/hyperlink" Target="https://www.infrastructureinvestor.com/australia-seeks-to-slash-time-for-renewable-energy-approvals/" TargetMode="External"/><Relationship Id="rId31" Type="http://schemas.openxmlformats.org/officeDocument/2006/relationships/hyperlink" Target="https://www.nsw.gov.au/ministerial-releases/reforms-introduced-supporting-modern-methods-of-construction" TargetMode="External"/><Relationship Id="rId32" Type="http://schemas.openxmlformats.org/officeDocument/2006/relationships/hyperlink" Target="https://www.apra.gov.au/events/all-actuaries-summit-2026" TargetMode="External"/><Relationship Id="rId3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