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- 9-22 October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22 October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the regulatory landscape is being shaped by environmental enforcement and energy transition pressures, with the EPA moving on unsafe groundwater contamination in South Australia, new anti-dumping council partnerships in Victoria, the AER advancing ring-fencing exemptions for hydrogen trials and the Project EnergyConnect reopener, and a parliamentary inquiry foregrounding critical minerals as a sovereign risk priority. The concentration of activity in environment, energy transition and resources regulation signals a near-term advisory opportunity in helping regulators and regulated entities navigate overlapping compliance obligations, data fragmentation and decision-making capability gaps across these converging sectors. Convene a targeted cross-sector briefing for our environment, energy and resources clients in the next fortnight to position our regulatory transformation capability ahead of the critical minerals inquiry and the NSW building reforms implementation wave.</w:t>
      </w:r>
    </w:p>
    <w:p>
      <w:pPr>
        <w:pStyle w:val="subheading_letter"/>
      </w:pPr>
      <w:r>
        <w:rPr>
          <w:rFonts w:ascii="Arial" w:hAnsi="Arial"/>
          <w:b/>
          <w:color w:val="76D2FF"/>
          <w:sz w:val="21"/>
        </w:rPr>
        <w:t>Regulators in the news (this fortnight)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issued over $4.1 million in infringement notices to Visy and Pratt companies for failing to lodge financial reports on time, signalling continued enforcement pressure on large private groups…</w:t>
      </w:r>
      <w:r>
        <w:rPr>
          <w:rFonts w:ascii="Arial" w:hAnsi="Arial"/>
          <w:color w:val="000000"/>
          <w:sz w:val="19"/>
        </w:rPr>
        <w:t xml:space="preserve"> (</w:t>
      </w:r>
      <w:hyperlink r:id="rId1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Federal Police</w:t>
      </w:r>
      <w:r>
        <w:rPr>
          <w:rFonts w:ascii="Arial" w:hAnsi="Arial"/>
          <w:color w:val="000000"/>
          <w:sz w:val="19"/>
        </w:rPr>
        <w:t xml:space="preserve"> - </w:t>
      </w:r>
      <w:r>
        <w:rPr>
          <w:rFonts w:ascii="Arial" w:hAnsi="Arial"/>
          <w:color w:val="000000"/>
          <w:sz w:val="19"/>
        </w:rPr>
        <w:t>AFP Commissioner warned of a surge in AI-accelerated youth radicalisation and disclosed the AFP is charging almost one person per week for targeting politicians, signalling an elevated threat…</w:t>
      </w:r>
      <w:r>
        <w:rPr>
          <w:rFonts w:ascii="Arial" w:hAnsi="Arial"/>
          <w:color w:val="000000"/>
          <w:sz w:val="19"/>
        </w:rPr>
        <w:t xml:space="preserve"> (</w:t>
      </w:r>
      <w:hyperlink r:id="rId1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Fair Work Commission</w:t>
      </w:r>
      <w:r>
        <w:rPr>
          <w:rFonts w:ascii="Arial" w:hAnsi="Arial"/>
          <w:color w:val="000000"/>
          <w:sz w:val="19"/>
        </w:rPr>
        <w:t xml:space="preserve"> - </w:t>
      </w:r>
      <w:r>
        <w:rPr>
          <w:rFonts w:ascii="Arial" w:hAnsi="Arial"/>
          <w:color w:val="000000"/>
          <w:sz w:val="19"/>
        </w:rPr>
        <w:t>The Fair Work Commission published official generative AI guidance prompts to help parties avoid submitting low-quality AI-generated submissions, marking a first for Australian tribunal practice…</w:t>
      </w:r>
      <w:r>
        <w:rPr>
          <w:rFonts w:ascii="Arial" w:hAnsi="Arial"/>
          <w:color w:val="000000"/>
          <w:sz w:val="19"/>
        </w:rPr>
        <w:t xml:space="preserve"> (</w:t>
      </w:r>
      <w:hyperlink r:id="rId12">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 recorded a $90 million deficit driven by increased litigation costs and unsuccessful court proceedings, raising questions about enforcement strategy sustainability and the reliability of…</w:t>
      </w:r>
      <w:r>
        <w:rPr>
          <w:rFonts w:ascii="Arial" w:hAnsi="Arial"/>
          <w:color w:val="000000"/>
          <w:sz w:val="19"/>
        </w:rPr>
        <w:t xml:space="preserve"> (</w:t>
      </w:r>
      <w:hyperlink r:id="rId1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Securities and Investments Commission</w:t>
      </w:r>
      <w:r>
        <w:rPr>
          <w:rFonts w:ascii="Arial" w:hAnsi="Arial"/>
          <w:color w:val="000000"/>
          <w:sz w:val="19"/>
        </w:rPr>
        <w:t xml:space="preserve"> - </w:t>
      </w:r>
      <w:r>
        <w:rPr>
          <w:rFonts w:ascii="Arial" w:hAnsi="Arial"/>
          <w:color w:val="000000"/>
          <w:sz w:val="19"/>
        </w:rPr>
        <w:t>ASIC's annual report emphasised enforcement outcomes including custodial sentences and consumer remediation, reinforcing its deterrence-first posture ahead of anticipated industry consultation on…</w:t>
      </w:r>
      <w:r>
        <w:rPr>
          <w:rFonts w:ascii="Arial" w:hAnsi="Arial"/>
          <w:color w:val="000000"/>
          <w:sz w:val="19"/>
        </w:rPr>
        <w:t xml:space="preserve"> (</w:t>
      </w:r>
      <w:hyperlink r:id="rId1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Competition and Consumer Commission</w:t>
      </w:r>
      <w:r>
        <w:rPr>
          <w:rFonts w:ascii="Arial" w:hAnsi="Arial"/>
          <w:color w:val="000000"/>
          <w:sz w:val="19"/>
        </w:rPr>
        <w:t xml:space="preserve"> - </w:t>
      </w:r>
      <w:r>
        <w:rPr>
          <w:rFonts w:ascii="Arial" w:hAnsi="Arial"/>
          <w:color w:val="000000"/>
          <w:sz w:val="19"/>
        </w:rPr>
        <w:t>ACCC published guidance on how businesses must substantiate emissions and sustainability claims made to consumers, directly increasing greenwashing compliance risk for listed and large private…</w:t>
      </w:r>
    </w:p>
    <w:p>
      <w:pPr>
        <w:pStyle w:val="ListBullet"/>
      </w:pPr>
      <w:r>
        <w:rPr>
          <w:rFonts w:ascii="Arial" w:hAnsi="Arial"/>
          <w:b/>
          <w:color w:val="000000"/>
          <w:sz w:val="19"/>
        </w:rPr>
        <w:t>Australian Prudential Regulation Authority</w:t>
      </w:r>
      <w:r>
        <w:rPr>
          <w:rFonts w:ascii="Arial" w:hAnsi="Arial"/>
          <w:color w:val="000000"/>
          <w:sz w:val="19"/>
        </w:rPr>
        <w:t xml:space="preserve"> - </w:t>
      </w:r>
      <w:r>
        <w:rPr>
          <w:rFonts w:ascii="Arial" w:hAnsi="Arial"/>
          <w:color w:val="000000"/>
          <w:sz w:val="19"/>
        </w:rPr>
        <w:t>The Australian Banking Association publicly backed calls for ASIC and APRA to reorient regulatory design toward economic growth, signalling industry pressure for a shift in supervisory philosophy…</w:t>
      </w:r>
    </w:p>
    <w:p>
      <w:pPr>
        <w:pStyle w:val="ListBullet"/>
      </w:pPr>
      <w:r>
        <w:rPr>
          <w:rFonts w:ascii="Arial" w:hAnsi="Arial"/>
          <w:b/>
          <w:color w:val="000000"/>
          <w:sz w:val="19"/>
        </w:rPr>
        <w:t>eSafety Commissioner</w:t>
      </w:r>
      <w:r>
        <w:rPr>
          <w:rFonts w:ascii="Arial" w:hAnsi="Arial"/>
          <w:color w:val="000000"/>
          <w:sz w:val="19"/>
        </w:rPr>
        <w:t xml:space="preserve"> - </w:t>
      </w:r>
      <w:r>
        <w:rPr>
          <w:rFonts w:ascii="Arial" w:hAnsi="Arial"/>
          <w:color w:val="000000"/>
          <w:sz w:val="19"/>
        </w:rPr>
        <w:t>The Australian government is considering restructuring the eSafety Commissioner into a committee model to handle enforcement under the proposed Duty of Care legislation, a structural shift that…</w:t>
      </w:r>
      <w:r>
        <w:rPr>
          <w:rFonts w:ascii="Arial" w:hAnsi="Arial"/>
          <w:color w:val="000000"/>
          <w:sz w:val="19"/>
        </w:rPr>
        <w:t xml:space="preserve"> (</w:t>
      </w:r>
      <w:hyperlink r:id="rId15">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National Anti-Corruption Commission</w:t>
      </w:r>
      <w:r>
        <w:rPr>
          <w:rFonts w:ascii="Arial" w:hAnsi="Arial"/>
          <w:color w:val="000000"/>
          <w:sz w:val="19"/>
        </w:rPr>
        <w:t xml:space="preserve"> - </w:t>
      </w:r>
      <w:r>
        <w:rPr>
          <w:rFonts w:ascii="Arial" w:hAnsi="Arial"/>
          <w:color w:val="000000"/>
          <w:sz w:val="19"/>
        </w:rPr>
        <w:t>The government has nominated the Federal Circuit and Family Court deputy chief justice as the planned National Anti-Corruption Commission commissioner, signalling a judiciary-to-regulator transition…</w:t>
      </w:r>
      <w:r>
        <w:rPr>
          <w:rFonts w:ascii="Arial" w:hAnsi="Arial"/>
          <w:color w:val="000000"/>
          <w:sz w:val="19"/>
        </w:rPr>
        <w:t xml:space="preserve"> (</w:t>
      </w:r>
      <w:hyperlink r:id="rId1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 Transaction Reports and Analysis Centre</w:t>
      </w:r>
      <w:r>
        <w:rPr>
          <w:rFonts w:ascii="Arial" w:hAnsi="Arial"/>
          <w:color w:val="000000"/>
          <w:sz w:val="19"/>
        </w:rPr>
        <w:t xml:space="preserve"> - </w:t>
      </w:r>
      <w:r>
        <w:rPr>
          <w:rFonts w:ascii="Arial" w:hAnsi="Arial"/>
          <w:color w:val="000000"/>
          <w:sz w:val="19"/>
        </w:rPr>
        <w:t>AUSTRAC released a recorded AML30 webinar covering child sexual exploitation financial typologies, reinforcing obligations for reporting entities to maintain and test transaction monitoring rules…</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VAGO found that not all Victorian government advertising campaigns met the apolitical standard required under public communications guidelines, creating reputational and compliance exposure for…</w:t>
      </w:r>
      <w:r>
        <w:rPr>
          <w:rFonts w:ascii="Arial" w:hAnsi="Arial"/>
          <w:color w:val="000000"/>
          <w:sz w:val="19"/>
        </w:rPr>
        <w:t xml:space="preserve"> (</w:t>
      </w:r>
      <w:hyperlink r:id="rId1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Victorian WorkCover Authority (WorkSafe Victoria)</w:t>
      </w:r>
      <w:r>
        <w:rPr>
          <w:rFonts w:ascii="Arial" w:hAnsi="Arial"/>
          <w:color w:val="000000"/>
          <w:sz w:val="19"/>
        </w:rPr>
        <w:t xml:space="preserve"> - </w:t>
      </w:r>
      <w:r>
        <w:rPr>
          <w:rFonts w:ascii="Arial" w:hAnsi="Arial"/>
          <w:color w:val="000000"/>
          <w:sz w:val="19"/>
        </w:rPr>
        <w:t>WorkSafe Victoria issued a new tranche of infringement notices targeting falls from height and high-risk construction work offences, continuing its construction-sector enforcement campaign with…</w:t>
      </w:r>
      <w:r>
        <w:rPr>
          <w:rFonts w:ascii="Arial" w:hAnsi="Arial"/>
          <w:color w:val="000000"/>
          <w:sz w:val="19"/>
        </w:rPr>
        <w:t xml:space="preserve"> (</w:t>
      </w:r>
      <w:hyperlink r:id="rId1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Our clients in the news</w:t>
      </w:r>
    </w:p>
    <w:p>
      <w:pPr>
        <w:pStyle w:val="body_letter"/>
      </w:pPr>
      <w:r>
        <w:rPr>
          <w:rFonts w:ascii="Arial" w:hAnsi="Arial"/>
          <w:b/>
          <w:color w:val="000000"/>
          <w:sz w:val="19"/>
        </w:rPr>
        <w:t>Victoria</w:t>
      </w:r>
    </w:p>
    <w:p>
      <w:pPr>
        <w:pStyle w:val="ListBullet"/>
      </w:pPr>
      <w:r>
        <w:rPr>
          <w:rFonts w:ascii="Arial" w:hAnsi="Arial"/>
          <w:b/>
          <w:color w:val="000000"/>
          <w:sz w:val="19"/>
        </w:rPr>
        <w:t>Victorian WorkCover Authority (WorkSafe Victoria)</w:t>
      </w:r>
      <w:r>
        <w:rPr>
          <w:rFonts w:ascii="Arial" w:hAnsi="Arial"/>
          <w:color w:val="000000"/>
          <w:sz w:val="19"/>
        </w:rPr>
        <w:t xml:space="preserve"> - </w:t>
      </w:r>
      <w:r>
        <w:rPr>
          <w:rFonts w:ascii="Arial" w:hAnsi="Arial"/>
          <w:color w:val="000000"/>
          <w:sz w:val="19"/>
        </w:rPr>
        <w:t>Solar installer fined $70,000 for ignoring falls risk</w:t>
      </w:r>
    </w:p>
    <w:p>
      <w:pPr>
        <w:pStyle w:val="ListBullet"/>
      </w:pPr>
      <w:r>
        <w:rPr>
          <w:rFonts w:ascii="Arial" w:hAnsi="Arial"/>
          <w:b/>
          <w:color w:val="000000"/>
          <w:sz w:val="19"/>
        </w:rPr>
        <w:t>Consumer Affairs Victoria</w:t>
      </w:r>
      <w:r>
        <w:rPr>
          <w:rFonts w:ascii="Arial" w:hAnsi="Arial"/>
          <w:color w:val="000000"/>
          <w:sz w:val="19"/>
        </w:rPr>
        <w:t xml:space="preserve"> - </w:t>
      </w:r>
      <w:r>
        <w:rPr>
          <w:rFonts w:ascii="Arial" w:hAnsi="Arial"/>
          <w:color w:val="000000"/>
          <w:sz w:val="19"/>
        </w:rPr>
        <w:t>Compliance clampdown targets trust account audits</w:t>
      </w:r>
    </w:p>
    <w:p>
      <w:pPr>
        <w:pStyle w:val="ListBullet"/>
      </w:pPr>
      <w:r>
        <w:rPr>
          <w:rFonts w:ascii="Arial" w:hAnsi="Arial"/>
          <w:b/>
          <w:color w:val="000000"/>
          <w:sz w:val="19"/>
        </w:rPr>
        <w:t>Victorian Auditor-General's Office</w:t>
      </w:r>
      <w:r>
        <w:rPr>
          <w:rFonts w:ascii="Arial" w:hAnsi="Arial"/>
          <w:color w:val="000000"/>
          <w:sz w:val="19"/>
        </w:rPr>
        <w:t xml:space="preserve"> - </w:t>
      </w:r>
      <w:r>
        <w:rPr>
          <w:rFonts w:ascii="Arial" w:hAnsi="Arial"/>
          <w:color w:val="000000"/>
          <w:sz w:val="19"/>
        </w:rPr>
        <w:t>Auditor-General criticises fire truck management and government advertising</w:t>
      </w:r>
    </w:p>
    <w:p>
      <w:pPr>
        <w:pStyle w:val="body_letter"/>
      </w:pPr>
      <w:r>
        <w:rPr>
          <w:rFonts w:ascii="Arial" w:hAnsi="Arial"/>
          <w:b/>
          <w:color w:val="000000"/>
          <w:sz w:val="19"/>
        </w:rPr>
        <w:t>Commonwealth</w:t>
      </w:r>
    </w:p>
    <w:p>
      <w:pPr>
        <w:pStyle w:val="ListBullet"/>
      </w:pPr>
      <w:r>
        <w:rPr>
          <w:rFonts w:ascii="Arial" w:hAnsi="Arial"/>
          <w:b/>
          <w:color w:val="000000"/>
          <w:sz w:val="19"/>
        </w:rPr>
        <w:t>Australian Energy Regulator</w:t>
      </w:r>
      <w:r>
        <w:rPr>
          <w:rFonts w:ascii="Arial" w:hAnsi="Arial"/>
          <w:color w:val="000000"/>
          <w:sz w:val="19"/>
        </w:rPr>
        <w:t xml:space="preserve"> - </w:t>
      </w:r>
      <w:r>
        <w:rPr>
          <w:rFonts w:ascii="Arial" w:hAnsi="Arial"/>
          <w:color w:val="000000"/>
          <w:sz w:val="19"/>
        </w:rPr>
        <w:t>AER opens Waratah Super Battery revenue determination review</w:t>
      </w:r>
    </w:p>
    <w:p>
      <w:pPr>
        <w:pStyle w:val="ListBullet"/>
      </w:pPr>
      <w:r>
        <w:rPr>
          <w:rFonts w:ascii="Arial" w:hAnsi="Arial"/>
          <w:b/>
          <w:color w:val="000000"/>
          <w:sz w:val="19"/>
        </w:rPr>
        <w:t>Aged Care Quality and Safety Commission</w:t>
      </w:r>
      <w:r>
        <w:rPr>
          <w:rFonts w:ascii="Arial" w:hAnsi="Arial"/>
          <w:color w:val="000000"/>
          <w:sz w:val="19"/>
        </w:rPr>
        <w:t xml:space="preserve"> - </w:t>
      </w:r>
      <w:r>
        <w:rPr>
          <w:rFonts w:ascii="Arial" w:hAnsi="Arial"/>
          <w:color w:val="000000"/>
          <w:sz w:val="19"/>
        </w:rPr>
        <w:t>Best practice guidance on incident management systems released</w:t>
      </w:r>
    </w:p>
    <w:p>
      <w:pPr>
        <w:pStyle w:val="ListBullet"/>
      </w:pPr>
      <w:r>
        <w:rPr>
          <w:rFonts w:ascii="Arial" w:hAnsi="Arial"/>
          <w:b/>
          <w:color w:val="000000"/>
          <w:sz w:val="19"/>
        </w:rPr>
        <w:t>Australian Health Practitioner Regulation Agency</w:t>
      </w:r>
      <w:r>
        <w:rPr>
          <w:rFonts w:ascii="Arial" w:hAnsi="Arial"/>
          <w:color w:val="000000"/>
          <w:sz w:val="19"/>
        </w:rPr>
        <w:t xml:space="preserve"> - </w:t>
      </w:r>
      <w:r>
        <w:rPr>
          <w:rFonts w:ascii="Arial" w:hAnsi="Arial"/>
          <w:color w:val="000000"/>
          <w:sz w:val="19"/>
        </w:rPr>
        <w:t>Fake cosmetic nurse ordered to community service after Ahpra probe</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ListBullet"/>
      </w:pPr>
      <w:r>
        <w:rPr>
          <w:rFonts w:ascii="Arial" w:hAnsi="Arial"/>
          <w:b/>
          <w:color w:val="000000"/>
          <w:sz w:val="19"/>
        </w:rPr>
        <w:t>National EPA signals tougher EPBC enforcement approach</w:t>
      </w:r>
      <w:r>
        <w:rPr>
          <w:rFonts w:ascii="Arial" w:hAnsi="Arial"/>
          <w:color w:val="000000"/>
          <w:sz w:val="19"/>
        </w:rPr>
        <w:t xml:space="preserve"> - </w:t>
      </w:r>
      <w:r>
        <w:rPr>
          <w:rFonts w:ascii="Arial" w:hAnsi="Arial"/>
          <w:color w:val="000000"/>
          <w:sz w:val="19"/>
        </w:rPr>
        <w:t>Norton Rose Fulbright analyses the National EPA's proposed enforcement and restoration contribution framework under EPBC Act reforms, signalling materially higher liability exposure for proponents…</w:t>
      </w:r>
      <w:r>
        <w:rPr>
          <w:rFonts w:ascii="Arial" w:hAnsi="Arial"/>
          <w:color w:val="000000"/>
          <w:sz w:val="19"/>
        </w:rPr>
        <w:t xml:space="preserve"> (</w:t>
      </w:r>
      <w:hyperlink r:id="rId19">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Heritage law overhaul opens post-McPhillamys consultation</w:t>
      </w:r>
      <w:r>
        <w:rPr>
          <w:rFonts w:ascii="Arial" w:hAnsi="Arial"/>
          <w:color w:val="000000"/>
          <w:sz w:val="19"/>
        </w:rPr>
        <w:t xml:space="preserve"> - </w:t>
      </w:r>
      <w:r>
        <w:rPr>
          <w:rFonts w:ascii="Arial" w:hAnsi="Arial"/>
          <w:color w:val="000000"/>
          <w:sz w:val="19"/>
        </w:rPr>
        <w:t>The Albanese Government has launched consultation on overhauling Commonwealth heritage protection laws following the Federal Court's McPhillamys ruling, creating approval risk uncertainty for mining…</w:t>
      </w:r>
      <w:r>
        <w:rPr>
          <w:rFonts w:ascii="Arial" w:hAnsi="Arial"/>
          <w:color w:val="000000"/>
          <w:sz w:val="19"/>
        </w:rPr>
        <w:t xml:space="preserve"> (</w:t>
      </w:r>
      <w:hyperlink r:id="rId20">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Uninsurable WHS fines converge with psychosocial enforcement push</w:t>
      </w:r>
      <w:r>
        <w:rPr>
          <w:rFonts w:ascii="Arial" w:hAnsi="Arial"/>
          <w:color w:val="000000"/>
          <w:sz w:val="19"/>
        </w:rPr>
        <w:t xml:space="preserve"> - </w:t>
      </w:r>
      <w:r>
        <w:rPr>
          <w:rFonts w:ascii="Arial" w:hAnsi="Arial"/>
          <w:color w:val="000000"/>
          <w:sz w:val="19"/>
        </w:rPr>
        <w:t>Workplace safety regulators are intensifying psychosocial risk enforcement alongside uninsurable penalties, raising the financial exposure for organisations that have not yet embedded proactive…</w:t>
      </w:r>
      <w:r>
        <w:rPr>
          <w:rFonts w:ascii="Arial" w:hAnsi="Arial"/>
          <w:color w:val="000000"/>
          <w:sz w:val="19"/>
        </w:rPr>
        <w:t xml:space="preserve"> (</w:t>
      </w:r>
      <w:hyperlink r:id="rId21">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Safeguard Mechanism loophole leaves coal and gas expansions exposed</w:t>
      </w:r>
      <w:r>
        <w:rPr>
          <w:rFonts w:ascii="Arial" w:hAnsi="Arial"/>
          <w:color w:val="000000"/>
          <w:sz w:val="19"/>
        </w:rPr>
        <w:t xml:space="preserve"> - </w:t>
      </w:r>
      <w:r>
        <w:rPr>
          <w:rFonts w:ascii="Arial" w:hAnsi="Arial"/>
          <w:color w:val="000000"/>
          <w:sz w:val="19"/>
        </w:rPr>
        <w:t>ABC News reports a loophole allows new coal and gas expansions to bypass stricter Safeguard Mechanism obligations, increasing pressure on the Albanese Government to close the gap and sharpening…</w:t>
      </w:r>
      <w:r>
        <w:rPr>
          <w:rFonts w:ascii="Arial" w:hAnsi="Arial"/>
          <w:color w:val="000000"/>
          <w:sz w:val="19"/>
        </w:rPr>
        <w:t xml:space="preserve"> (</w:t>
      </w:r>
      <w:hyperlink r:id="rId22">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AI adoption</w:t>
      </w:r>
    </w:p>
    <w:p>
      <w:pPr>
        <w:pStyle w:val="ListBullet"/>
      </w:pPr>
      <w:r>
        <w:rPr>
          <w:rFonts w:ascii="Arial" w:hAnsi="Arial"/>
          <w:b/>
          <w:color w:val="000000"/>
          <w:sz w:val="19"/>
        </w:rPr>
        <w:t>Tasmania EPA left uninformed on data centre generator scale</w:t>
      </w:r>
      <w:r>
        <w:rPr>
          <w:rFonts w:ascii="Arial" w:hAnsi="Arial"/>
          <w:color w:val="000000"/>
          <w:sz w:val="19"/>
        </w:rPr>
        <w:t xml:space="preserve"> - </w:t>
      </w:r>
      <w:r>
        <w:rPr>
          <w:rFonts w:ascii="Arial" w:hAnsi="Arial"/>
          <w:color w:val="000000"/>
          <w:sz w:val="19"/>
        </w:rPr>
        <w:t>Tasmania's EPA disclosed it was not told the full extent of Firmus's data centre generator plans, revealing a regulatory intelligence gap as AI-driven demand for data centre capacity outpaces…</w:t>
      </w:r>
      <w:r>
        <w:rPr>
          <w:rFonts w:ascii="Arial" w:hAnsi="Arial"/>
          <w:color w:val="000000"/>
          <w:sz w:val="19"/>
        </w:rPr>
        <w:t xml:space="preserve"> (</w:t>
      </w:r>
      <w:hyperlink r:id="rId23">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AFMA tests cross-border digital surveillance with Indonesia</w:t>
      </w:r>
      <w:r>
        <w:rPr>
          <w:rFonts w:ascii="Arial" w:hAnsi="Arial"/>
          <w:color w:val="000000"/>
          <w:sz w:val="19"/>
        </w:rPr>
        <w:t xml:space="preserve"> - </w:t>
      </w:r>
      <w:r>
        <w:rPr>
          <w:rFonts w:ascii="Arial" w:hAnsi="Arial"/>
          <w:color w:val="000000"/>
          <w:sz w:val="19"/>
        </w:rPr>
        <w:t>AFMA and Indonesian counterparts coordinated a Vessel Monitoring System pilot, using shared digital tracking data to close cross-border fisheries enforcement gaps and demonstrate how data-sharing…</w:t>
      </w:r>
      <w:r>
        <w:rPr>
          <w:rFonts w:ascii="Arial" w:hAnsi="Arial"/>
          <w:color w:val="000000"/>
          <w:sz w:val="19"/>
        </w:rPr>
        <w:t xml:space="preserve"> (</w:t>
      </w:r>
      <w:hyperlink r:id="rId24">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Children's Commission tables data-driven evidence for regulatory action</w:t>
      </w:r>
      <w:r>
        <w:rPr>
          <w:rFonts w:ascii="Arial" w:hAnsi="Arial"/>
          <w:color w:val="000000"/>
          <w:sz w:val="19"/>
        </w:rPr>
        <w:t xml:space="preserve"> - </w:t>
      </w:r>
      <w:r>
        <w:rPr>
          <w:rFonts w:ascii="Arial" w:hAnsi="Arial"/>
          <w:color w:val="000000"/>
          <w:sz w:val="19"/>
        </w:rPr>
        <w:t>Victoria's Commission for Children and Young People presented analytics-grounded evidence in its annual report to drive policy and regulatory responses, illustrating how regulators can embed data…</w:t>
      </w:r>
      <w:r>
        <w:rPr>
          <w:rFonts w:ascii="Arial" w:hAnsi="Arial"/>
          <w:color w:val="000000"/>
          <w:sz w:val="19"/>
        </w:rPr>
        <w:t xml:space="preserve"> (</w:t>
      </w:r>
      <w:hyperlink r:id="rId25">
        <w:r>
          <w:rPr>
            <w:rFonts w:ascii="Arial" w:hAnsi="Arial" w:cs="Arial"/>
            <w:color w:val="0000FF"/>
            <w:sz w:val="19"/>
            <w:szCs w:val="19"/>
            <w:u w:val="single"/>
          </w:rPr>
          <w:t xml:space="preserve">Read more</w:t>
        </w:r>
      </w:hyperlink>
      <w:r>
        <w:rPr>
          <w:rFonts w:ascii="Arial" w:hAnsi="Arial"/>
          <w:color w:val="000000"/>
          <w:sz w:val="19"/>
        </w:rPr>
        <w:t>)</w:t>
      </w:r>
    </w:p>
    <w:p>
      <w:pPr>
        <w:pStyle w:val="body_letter"/>
      </w:pPr>
      <w:r>
        <w:rPr>
          <w:rFonts w:ascii="Arial" w:hAnsi="Arial"/>
          <w:b/>
          <w:color w:val="000000"/>
          <w:sz w:val="19"/>
        </w:rPr>
        <w:t>Regulatory burden</w:t>
      </w:r>
    </w:p>
    <w:p>
      <w:pPr>
        <w:pStyle w:val="ListBullet"/>
      </w:pPr>
      <w:r>
        <w:rPr>
          <w:rFonts w:ascii="Arial" w:hAnsi="Arial"/>
          <w:b/>
          <w:color w:val="000000"/>
          <w:sz w:val="19"/>
        </w:rPr>
        <w:t>NSW building reforms move from legislation to implementation</w:t>
      </w:r>
      <w:r>
        <w:rPr>
          <w:rFonts w:ascii="Arial" w:hAnsi="Arial"/>
          <w:color w:val="000000"/>
          <w:sz w:val="19"/>
        </w:rPr>
        <w:t xml:space="preserve"> - </w:t>
      </w:r>
      <w:r>
        <w:rPr>
          <w:rFonts w:ascii="Arial" w:hAnsi="Arial"/>
          <w:color w:val="000000"/>
          <w:sz w:val="19"/>
        </w:rPr>
        <w:t>The Property Council has convened a member briefing on translating NSW's recent building legislative reforms into operational practice, signalling significant compliance transition requirements for…</w:t>
      </w:r>
      <w:r>
        <w:rPr>
          <w:rFonts w:ascii="Arial" w:hAnsi="Arial"/>
          <w:color w:val="000000"/>
          <w:sz w:val="19"/>
        </w:rPr>
        <w:t xml:space="preserve"> (</w:t>
      </w:r>
      <w:hyperlink r:id="rId26">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ESC consults on Greater Western Water price determination delay</w:t>
      </w:r>
      <w:r>
        <w:rPr>
          <w:rFonts w:ascii="Arial" w:hAnsi="Arial"/>
          <w:color w:val="000000"/>
          <w:sz w:val="19"/>
        </w:rPr>
        <w:t xml:space="preserve"> - </w:t>
      </w:r>
      <w:r>
        <w:rPr>
          <w:rFonts w:ascii="Arial" w:hAnsi="Arial"/>
          <w:color w:val="000000"/>
          <w:sz w:val="19"/>
        </w:rPr>
        <w:t>Victoria's Essential Services Commission is seeking stakeholder feedback on Greater Western Water's request to defer its next price determination, raising questions about regulatory timing,…</w:t>
      </w:r>
      <w:r>
        <w:rPr>
          <w:rFonts w:ascii="Arial" w:hAnsi="Arial"/>
          <w:color w:val="000000"/>
          <w:sz w:val="19"/>
        </w:rPr>
        <w:t xml:space="preserve"> (</w:t>
      </w:r>
      <w:hyperlink r:id="rId27">
        <w:r>
          <w:rPr>
            <w:rFonts w:ascii="Arial" w:hAnsi="Arial" w:cs="Arial"/>
            <w:color w:val="0000FF"/>
            <w:sz w:val="19"/>
            <w:szCs w:val="19"/>
            <w:u w:val="single"/>
          </w:rPr>
          <w:t xml:space="preserve">Read more</w:t>
        </w:r>
      </w:hyperlink>
      <w:r>
        <w:rPr>
          <w:rFonts w:ascii="Arial" w:hAnsi="Arial"/>
          <w:color w:val="000000"/>
          <w:sz w:val="19"/>
        </w:rPr>
        <w:t>)</w:t>
      </w:r>
    </w:p>
    <w:p>
      <w:pPr>
        <w:pStyle w:val="ListBullet"/>
      </w:pPr>
      <w:r>
        <w:rPr>
          <w:rFonts w:ascii="Arial" w:hAnsi="Arial"/>
          <w:b/>
          <w:color w:val="000000"/>
          <w:sz w:val="19"/>
        </w:rPr>
        <w:t>Australians could gain right to sue Big Tech under online safety push</w:t>
      </w:r>
      <w:r>
        <w:rPr>
          <w:rFonts w:ascii="Arial" w:hAnsi="Arial"/>
          <w:color w:val="000000"/>
          <w:sz w:val="19"/>
        </w:rPr>
        <w:t xml:space="preserve"> - </w:t>
      </w:r>
      <w:r>
        <w:rPr>
          <w:rFonts w:ascii="Arial" w:hAnsi="Arial"/>
          <w:color w:val="000000"/>
          <w:sz w:val="19"/>
        </w:rPr>
        <w:t>Proposed tougher online safety laws could give Australians direct rights to sue major technology platforms, extending regulatory burden on digital platforms and opening new liability channels that…</w:t>
      </w:r>
      <w:r>
        <w:rPr>
          <w:rFonts w:ascii="Arial" w:hAnsi="Arial"/>
          <w:color w:val="000000"/>
          <w:sz w:val="19"/>
        </w:rPr>
        <w:t xml:space="preserve"> (</w:t>
      </w:r>
      <w:hyperlink r:id="rId28">
        <w:r>
          <w:rPr>
            <w:rFonts w:ascii="Arial" w:hAnsi="Arial" w:cs="Arial"/>
            <w:color w:val="0000FF"/>
            <w:sz w:val="19"/>
            <w:szCs w:val="19"/>
            <w:u w:val="single"/>
          </w:rPr>
          <w:t xml:space="preserve">Read more</w:t>
        </w:r>
      </w:hyperlink>
      <w:r>
        <w:rPr>
          <w:rFonts w:ascii="Arial" w:hAnsi="Arial"/>
          <w:color w:val="000000"/>
          <w:sz w:val="19"/>
        </w:rPr>
        <w:t>)</w:t>
      </w:r>
    </w:p>
    <w:p>
      <w:pPr>
        <w:pStyle w:val="subheading_letter"/>
      </w:pPr>
      <w:r>
        <w:rPr>
          <w:rFonts w:ascii="Arial" w:hAnsi="Arial"/>
          <w:b/>
          <w:color w:val="76D2FF"/>
          <w:sz w:val="21"/>
        </w:rPr>
        <w:t>Training, conferences, webinars &amp; in-person sessions</w:t>
      </w:r>
    </w:p>
    <w:p>
      <w:pPr>
        <w:pStyle w:val="body_letter"/>
      </w:pPr>
      <w:r>
        <w:rPr>
          <w:rFonts w:ascii="Arial" w:hAnsi="Arial"/>
          <w:i/>
          <w:color w:val="666666"/>
          <w:sz w:val="19"/>
        </w:rPr>
        <w:t>No upcoming events in the next four weeks.</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The fortnight's dominant regulatory investment pattern consolidates across three vectors. First, the AER has simultaneously activated the EnergyConnect cost pass-through consultation, a draft ring-fencing exemption for AGN's hydrogen trials, and a revenue remake for the Waratah Super Battery, a concurrent network economics workload that signals a multi-year regulatory build cycle and live submission windows for network operator clients. Second, a Federal parliamentary inquiry into critical minerals, Geoscience Australia's precompetitive data investment, and Victoria's first antimony processing grant mark a government activation cycle across the critical minerals value chain where permitting, sovereign-capability, and supply-chain economics advisory mandates are forming now. Third, the McPhillamys Federal Court ruling has directly triggered a WA heritage laws overhaul, creating a national compliance gap for mining operators before new instruments are settled, KPMG's highest-urgency engagement window this fortnight. Across health, the TGA's completed AI digital scribe review delivers a government verdict on AI tools in clinical settings, opening a structured advisory lane for providers, while the Department of Health's landmark aged-care pay-equity package and NDIS 'future generations' framing signal imminent structural redesign mandates. AUSTRAC's live AML30 penalties and ASIC's digital asset law consultation (CP 392) create parallel regulated-entity pull across financial services clients. BD effort should be concentrated immediately on: heritage compliance rapid-assessment for mining clients, network regulatory design for AER-regulated networks, and responsible-AI advisory to health providers using the TGA verdict as the pitch anchor.</w:t>
      </w:r>
    </w:p>
    <w:p>
      <w:pPr>
        <w:pStyle w:val="body_letter"/>
      </w:pPr>
      <w:r>
        <w:rPr>
          <w:rFonts w:ascii="Arial" w:hAnsi="Arial"/>
          <w:b/>
          <w:color w:val="000000"/>
          <w:sz w:val="19"/>
        </w:rPr>
        <w:t>Business development priorities</w:t>
      </w:r>
    </w:p>
    <w:p>
      <w:pPr>
        <w:pStyle w:val="ListBullet"/>
      </w:pPr>
      <w:r>
        <w:rPr>
          <w:rFonts w:ascii="Arial" w:hAnsi="Arial"/>
          <w:color w:val="000000"/>
          <w:sz w:val="19"/>
        </w:rPr>
        <w:t>Brief TransGrid, EnergyConnect operators, and AGN within the week on KPMG's network regulatory economics capability, positioning for submission support and regulatory strategy retainers across the live AER consultation windows.</w:t>
      </w:r>
    </w:p>
    <w:p>
      <w:pPr>
        <w:pStyle w:val="ListBullet"/>
      </w:pPr>
      <w:r>
        <w:rPr>
          <w:rFonts w:ascii="Arial" w:hAnsi="Arial"/>
          <w:color w:val="000000"/>
          <w:sz w:val="19"/>
        </w:rPr>
        <w:t>Convene a heritage compliance rapid-assessment offering for WA and national mining clients exposed by the McPhillamys ruling, targeting execution before the WA legislature settles replacement instruments.</w:t>
      </w:r>
    </w:p>
    <w:p>
      <w:pPr>
        <w:pStyle w:val="ListBullet"/>
      </w:pPr>
      <w:r>
        <w:rPr>
          <w:rFonts w:ascii="Arial" w:hAnsi="Arial"/>
          <w:color w:val="000000"/>
          <w:sz w:val="19"/>
        </w:rPr>
        <w:t>Mobilise the critical minerals advisory bench to engage the parliamentary inquiry secretariat and anchor KPMG as lead adviser on permitting reform, sovereign-capability program design, and supply-chain economics across the emerging government investment cycle.</w:t>
      </w:r>
    </w:p>
    <w:p>
      <w:pPr>
        <w:pStyle w:val="ListBullet"/>
      </w:pPr>
      <w:r>
        <w:rPr>
          <w:rFonts w:ascii="Arial" w:hAnsi="Arial"/>
          <w:color w:val="000000"/>
          <w:sz w:val="19"/>
        </w:rPr>
        <w:t>Use the TGA's AI digital scribe verdict as the pitch hook with health provider clients to open responsible-AI advisory and compliance-framework engagements before the regulator finalises implementation guidance.</w:t>
      </w:r>
    </w:p>
    <w:p>
      <w:pPr>
        <w:pStyle w:val="ListBullet"/>
      </w:pPr>
      <w:r>
        <w:rPr>
          <w:rFonts w:ascii="Arial" w:hAnsi="Arial"/>
          <w:color w:val="000000"/>
          <w:sz w:val="19"/>
        </w:rPr>
        <w:t>Activate AUSTRAC AML30 enforcement as an outbound trigger to remittance-sector and non-bank financial institution clients, leading with a structured gap-assessment and remediation program offering tied to the live penalty regime.</w:t>
      </w:r>
    </w:p>
    <w:p>
      <w:pPr>
        <w:pStyle w:val="body_letter"/>
      </w:pPr>
      <w:r>
        <w:rPr>
          <w:rFonts w:ascii="Arial" w:hAnsi="Arial"/>
          <w:b/>
          <w:color w:val="000000"/>
          <w:sz w:val="19"/>
        </w:rPr>
        <w:t>Implications for clients</w:t>
      </w:r>
    </w:p>
    <w:p>
      <w:pPr>
        <w:pStyle w:val="ListBullet"/>
      </w:pPr>
      <w:r>
        <w:rPr>
          <w:rFonts w:ascii="Arial" w:hAnsi="Arial"/>
          <w:color w:val="000000"/>
          <w:sz w:val="19"/>
        </w:rPr>
        <w:t>Brief TransGrid, EnergyConnect operators, and AGN within the week on KPMG's network regulatory economics capability, positioning for submission support and regulatory strategy retainers across the live AER consultation windows.</w:t>
      </w:r>
    </w:p>
    <w:p>
      <w:pPr>
        <w:pStyle w:val="ListBullet"/>
      </w:pPr>
      <w:r>
        <w:rPr>
          <w:rFonts w:ascii="Arial" w:hAnsi="Arial"/>
          <w:color w:val="000000"/>
          <w:sz w:val="19"/>
        </w:rPr>
        <w:t>Convene a heritage compliance rapid-assessment offering for WA and national mining clients exposed by the McPhillamys ruling, targeting execution before the WA legislature settles replacement instruments.</w:t>
      </w:r>
    </w:p>
    <w:p>
      <w:pPr>
        <w:pStyle w:val="ListBullet"/>
      </w:pPr>
      <w:r>
        <w:rPr>
          <w:rFonts w:ascii="Arial" w:hAnsi="Arial"/>
          <w:color w:val="000000"/>
          <w:sz w:val="19"/>
        </w:rPr>
        <w:t>Mobilise the critical minerals advisory bench to engage the parliamentary inquiry secretariat and anchor KPMG as lead adviser on permitting reform, sovereign-capability program design, and supply-chain economics across the emerging government investment cycle.</w:t>
      </w:r>
    </w:p>
    <w:p>
      <w:pPr>
        <w:pStyle w:val="ListBullet"/>
      </w:pPr>
      <w:r>
        <w:rPr>
          <w:rFonts w:ascii="Arial" w:hAnsi="Arial"/>
          <w:color w:val="000000"/>
          <w:sz w:val="19"/>
        </w:rPr>
        <w:t>Use the TGA's AI digital scribe verdict as the pitch hook with health provider clients to open responsible-AI advisory and compliance-framework engagements before the regulator finalises implementation guidance.</w:t>
      </w:r>
    </w:p>
    <w:p>
      <w:pPr>
        <w:pStyle w:val="ListBullet"/>
      </w:pPr>
      <w:r>
        <w:rPr>
          <w:rFonts w:ascii="Arial" w:hAnsi="Arial"/>
          <w:color w:val="000000"/>
          <w:sz w:val="19"/>
        </w:rPr>
        <w:t>Activate AUSTRAC AML30 enforcement as an outbound trigger to remittance-sector and non-bank financial institution clients, leading with a structured gap-assessment and remediation program offering tied to the live penalty regime.</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The Fair Work Commission's proactive GenAI guidance, issuing structured prompts to constrain AI-generated unfair dismissal submissions, signals that Commonwealth regulators are actively investing in technology governance frameworks, creating an immediate pitch opportunity for AI uplift, policy design, and change-management advisory. The Best Practice Review of model WHS laws, reinforced by WorkSafe Victoria's concurrent publication of its Workplace Exposure Limits regulatory response, opens a clear regulatory reform pipeline where implementation advisory and compliance-readiness engagements are likely to be commissioned through 2026-27. ACCC's new guidance tightening standards on business emissions claims adds a cross-portfolio enforcement signal that activates ESG assurance and regulatory-strategy work across government and regulated-entity client rosters. Victoria's Auditor-General finding that some government advertising campaigns breached apolitical requirements frames a direct governance-risk entry point for public-sector clients with high-volume communications spend.</w:t>
      </w:r>
    </w:p>
    <w:p>
      <w:pPr>
        <w:pStyle w:val="body_letter"/>
      </w:pPr>
      <w:r>
        <w:rPr>
          <w:rFonts w:ascii="Arial" w:hAnsi="Arial"/>
          <w:b/>
          <w:color w:val="000000"/>
          <w:sz w:val="19"/>
        </w:rPr>
        <w:t>Financial Services</w:t>
      </w:r>
    </w:p>
    <w:p>
      <w:pPr>
        <w:pStyle w:val="body_letter"/>
      </w:pPr>
      <w:r>
        <w:rPr>
          <w:rFonts w:ascii="Arial" w:hAnsi="Arial"/>
          <w:b w:val="0"/>
          <w:color w:val="000000"/>
          <w:sz w:val="19"/>
        </w:rPr>
        <w:t>ASIC's consultation on digital asset law implementation (CP 392) opens a time-limited window for licensing readiness and compliance framework engagements across crypto and tokenised-asset issuers. The regulator's concurrent super fund valuation review (REP 841) signals a sustained assurance uplift cycle for large funds, with ASIC explicitly calling for stronger audit scrutiny of unlisted-asset valuations. Fortnum Private Wealth's $1.35M cybersecurity penalty and the mortgage broker best-interests duty review (REP 840) together indicate enforcement is broadening from conduct to operational and systems risk, both generating remediation mandates across licensees. The ABA's public endorsement of a growth-oriented regulatory posture from ASIC and APRA adds a strategic-advice angle around licensing reform and capital efficiency.</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fortnight's dominant signal is a simultaneous government push on aged care reform, NDIS sustainability, and care-sector workforce equity, with the Department of Health, Disability and Ageing announcing a landmark pay-equity funding package alongside a 'strengthening aged care' agenda, both signalling cabinet-level commitment to structural uplift rather than incremental tweaks. The Aged Care Quality and Safety Commission has released best-practice incident management guidance and its ninth quality bulletin this year, maintaining an active compliance posture that creates assurance and governance pull-through. The TGA's completed review of AI digital scribes in clinical settings is the clearest tech-regulation signal in the batch: a government verdict on AI tools in health delivery opens a structured advisory lane for providers navigating compliance. Ahpra's continued high-volume enforcement against unregistered and suspended practitioners reinforces demand for workforce credentialling and registration-governance work, while NDIS's 'future generations' framing suggests an imminent structural redesign that KPMG should be positioned to support.</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simultaneous activation of the Project EnergyConnect cost pass-through consultation and a draft ring-fencing exemption for AGN's hydrogen trials signals concentrated regulatory activity on network economics and the gas-to-hydrogen transition, with live submission windows creating immediate engagement opportunities for network operator clients. A Federal parliamentary inquiry into critical minerals, combined with Geoscience Australia's precompetitive data investment and Victoria's first antimony processing grant, marks an emerging government activation cycle across the critical minerals value chain where permitting, supply-chain economics and sovereign-capability advisory demand is building. The McPhillamys Federal Court ruling has directly triggered a WA heritage laws overhaul, opening a compliance gap for mining operators nationally before new instruments are settled, a high-urgency advisory window. State environmental enforcement is concurrently intensifying, with the SA EPA issuing a groundwater ban and Vic EPA deploying council-enforcement partnerships against illegal waste dumping, both carrying property-sector exposure for KPMG clients managing contaminated or development sites.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The PJCIS Radicalisation Inquiry has drawn AFP senior-leadership testimony highlighting AI-accelerated youth radicalisation and child exploitation vectors, signalling near-term Commonwealth investment in counter-radicalisation program design and capability evaluation across AFP and Home Affairs. AUSTRAC has activated the AML30 enforcement regime with $21,840 penalties now issuing to non-compliant businesses, creating immediate pull-through demand for AML/CTF gap assessments, remediation programs, and remittance-sector compliance uplift. AFP escalations across foreign interference safeguarding, Operation Ironside sentencing, and the Trans-Tasman OMCG crackdown, alongside ABF-Indonesia joint maritime operations, indicate a sustained multi-agency capability-build cycle that opens procurement pathways at AFP, ACIC, and ABF simultaneously. The AI-threat and counter-radicalisation signal is the highest-priority government-advisory angle; AML30 enforcement is the highest-priority regulated-entity commercial pull.</w:t>
      </w:r>
    </w:p>
    <w:p>
      <w:pPr>
        <w:pStyle w:val="body_letter"/>
      </w:pPr>
      <w:r>
        <w:rPr>
          <w:rFonts w:ascii="Arial" w:hAnsi="Arial"/>
          <w:b/>
          <w:color w:val="000000"/>
          <w:sz w:val="19"/>
        </w:rPr>
        <w:t>Defence</w:t>
      </w:r>
    </w:p>
    <w:p>
      <w:pPr>
        <w:pStyle w:val="body_letter"/>
      </w:pPr>
      <w:r>
        <w:rPr>
          <w:rFonts w:ascii="Arial" w:hAnsi="Arial"/>
          <w:b w:val="0"/>
          <w:color w:val="000000"/>
          <w:sz w:val="19"/>
        </w:rPr>
        <w:t>Defence is signalling a strategic reset in long-term contracting, with the abrupt termination of a 26-year arrangement drawing market attention to procurement governance and transition-management gaps that create near-term advisory pull. Simultaneously, scrutiny of F-35 component export controls has put the Defence Export Controls Office under public pressure, opening regulatory-compliance and licensing-framework work for advisers with cleared supply-chain capability. The proposed criminal liability extension for modern slavery failures in supply chains adds a compliance-uplift imperative across the defence industrial base, where tier-2 and tier-3 primes have limited audit maturity. KPMG should note the Greens' public challenge to its existing Defence engagement against the federal contract-ban backdrop, which elevates reputational diligence as a precondition for any new pursuit in this sector.</w:t>
      </w:r>
    </w:p>
    <w:p>
      <w:pPr>
        <w:pStyle w:val="body_letter"/>
      </w:pPr>
      <w:r>
        <w:rPr>
          <w:rFonts w:ascii="Arial" w:hAnsi="Arial"/>
          <w:b/>
          <w:color w:val="000000"/>
          <w:sz w:val="19"/>
        </w:rPr>
        <w:t>Transport</w:t>
      </w:r>
    </w:p>
    <w:p>
      <w:pPr>
        <w:pStyle w:val="body_letter"/>
      </w:pPr>
      <w:r>
        <w:rPr>
          <w:rFonts w:ascii="Arial" w:hAnsi="Arial"/>
          <w:b w:val="0"/>
          <w:color w:val="000000"/>
          <w:sz w:val="19"/>
        </w:rPr>
        <w:t>CASA is in an active regulatory build cycle across three fronts simultaneously, drone/RPAS frameworks (BVLOS long-term approach, AusSORA airworthiness, NOTAMs and record-keeping), safety management system uplift for aerodrome rescue and air navigation services (PP 2618SS), and Part 21 certification flexibility, signalling sustained advisory demand for regulatory design, implementation support and assurance uplift. ATSB's aerial firefighting reporting-culture survey and NHVR's amendment cycle add parallel threads in safety culture and heavy vehicle compliance. CASA's probe into Vietjet's financial viability is the most immediate enforcement signal, creating a near-term opening for financial and regulatory resilience advisory to airline clients operating on thin margins. The NTC's voluntary guidelines for stevedores and ECPs, combined with incoming accessible public transport standards, extend the pipeline into ports and passenger rail operators who will need compliance gap assessments.</w:t>
      </w:r>
    </w:p>
    <w:p>
      <w:pPr>
        <w:pStyle w:val="body_letter"/>
      </w:pPr>
      <w:r>
        <w:rPr>
          <w:rFonts w:ascii="Arial" w:hAnsi="Arial"/>
          <w:b/>
          <w:color w:val="000000"/>
          <w:sz w:val="19"/>
        </w:rPr>
        <w:t>Education</w:t>
      </w:r>
    </w:p>
    <w:p>
      <w:pPr>
        <w:pStyle w:val="body_letter"/>
      </w:pPr>
      <w:r>
        <w:rPr>
          <w:rFonts w:ascii="Arial" w:hAnsi="Arial"/>
          <w:b w:val="0"/>
          <w:color w:val="000000"/>
          <w:sz w:val="19"/>
        </w:rPr>
        <w:t>Three concurrent regulatory uplift signals converge on the education and training sector this fortnight. ASQA is intensifying scrutiny of RTO ownership structures and governance disclosures, and has issued AI-use principles for the early childhood educator training market, both creating near-term demand for governance, assurance, and responsible-AI advisory work. DEWR's release of the 2025 RTO Standards and the External Systems Assurance Framework (ESAF), alongside resumed Targeted Compliance Framework elements, signals a systems-integrity and third-party-risk cycle opening across Commonwealth employment-linked training programs. ATEC's Statement of Strategic Priorities consultation and its new Disability Inclusion Advisory Committee indicate a regulator still building institutional capability and receptive to advisory input on inclusion strategy and operational design. The TEQSA threshold-standard amendments and fee consultation add a separate higher-education compliance-change vector that will pressure providers to seek external readiness support.</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ASIC is under financial strain after litigation costs pushed it $90m into deficit, yet is publicly doubling down on enforcement effectiveness, signalling continued aggressive posture that heightens compliance risk for regulated entities. APRA is intensifying oversight of investment activities, indicating a regulatory priority shift that will increase scrutiny on superannuation and financial services firms. The Department of Home Affairs has opened consultation on enhancements to the Critical Infrastructure Risk Management Program (CIRMP) Rules, creating a near-term advisory opportunity for entities across all 11 critical infrastructure sectors. Separately, national resources sector regulators have formalised cross-jurisdictional collaboration, and the ATO's credit card payment ban has been deferred following Treasurer intervention, a rare executive override of a regulator that may attract follow-on scrutiny of ATO rulemaking processes.</w:t>
      </w:r>
    </w:p>
    <w:p>
      <w:pPr>
        <w:pStyle w:val="body_letter"/>
      </w:pPr>
      <w:r>
        <w:rPr>
          <w:rFonts w:ascii="Arial" w:hAnsi="Arial"/>
          <w:b/>
          <w:color w:val="000000"/>
          <w:sz w:val="19"/>
        </w:rPr>
        <w:t>New South Wales</w:t>
      </w:r>
    </w:p>
    <w:p>
      <w:pPr>
        <w:pStyle w:val="body_letter"/>
      </w:pPr>
      <w:r>
        <w:rPr>
          <w:rFonts w:ascii="Arial" w:hAnsi="Arial"/>
          <w:b w:val="0"/>
          <w:color w:val="000000"/>
          <w:sz w:val="19"/>
        </w:rPr>
        <w:t>The Minns Labor Government has introduced landmark Local Jobs First procurement reforms, creating new compliance obligations for businesses tendering on NSW government contracts and an immediate advisory opportunity around tender strategy and compliance frameworks. SafeWork NSW is running concurrent enforcement actions, a formal psychosocial risk inquiry into Cheil Australia and a targeted abattoir compliance operation for Safe Work Month, signalling an expanding enforcement posture beyond physical safety into psychosocial and sector-specific risks. The NSW Government has suspended Clarence Valley Council and appointed an interim administrator, while new veterinary services legislation and Central West wildlife protection reforms add sector-specific compliance obligations. A cybersecurity breach of an NSW government website by an OpenAI agent, unreported by OpenAI for months, raises emerging obligations around vendor notification duties and AI-related cyber risk for agencies and their suppliers.</w:t>
      </w:r>
    </w:p>
    <w:p>
      <w:pPr>
        <w:pStyle w:val="body_letter"/>
      </w:pPr>
      <w:r>
        <w:rPr>
          <w:rFonts w:ascii="Arial" w:hAnsi="Arial"/>
          <w:b/>
          <w:color w:val="000000"/>
          <w:sz w:val="19"/>
        </w:rPr>
        <w:t>Victoria</w:t>
      </w:r>
    </w:p>
    <w:p>
      <w:pPr>
        <w:pStyle w:val="body_letter"/>
      </w:pPr>
      <w:r>
        <w:rPr>
          <w:rFonts w:ascii="Arial" w:hAnsi="Arial"/>
          <w:b w:val="0"/>
          <w:color w:val="000000"/>
          <w:sz w:val="19"/>
        </w:rPr>
        <w:t>Victoria's integrity framework expanded materially via fast-tracked legislation widening IBAC's mandate and granting enhanced 'follow-the-money' powers, signalling heightened public sector accountability obligations and immediate advisory opportunities for governance and compliance clients. The Victorian Auditor-General issued concurrent adverse findings across government advertising (political neutrality breaches), fire authority fleet management failures, and an evidentially unsupported youth justice program, indicating systemic record-keeping and performance-reporting deficiencies across agencies. A former public servant faces misconduct in public office and fraud conspiracy charges while the Victorian Institute of Teaching conducted enforcement raids on two school campuses, reinforcing the state's active enforcement posture. Organisations with child-related activities must act on new Working with Children Check legislative reforms, and a VCAT ruling confirming double stamp duty on late nominee transactions carries material implications for property transaction structuring advice.</w:t>
      </w:r>
    </w:p>
    <w:p>
      <w:pPr>
        <w:pStyle w:val="body_letter"/>
      </w:pPr>
      <w:r>
        <w:rPr>
          <w:rFonts w:ascii="Arial" w:hAnsi="Arial"/>
          <w:b/>
          <w:color w:val="000000"/>
          <w:sz w:val="19"/>
        </w:rPr>
        <w:t>Queensland</w:t>
      </w:r>
    </w:p>
    <w:p>
      <w:pPr>
        <w:pStyle w:val="body_letter"/>
      </w:pPr>
      <w:r>
        <w:rPr>
          <w:rFonts w:ascii="Arial" w:hAnsi="Arial"/>
          <w:b w:val="0"/>
          <w:color w:val="000000"/>
          <w:sz w:val="19"/>
        </w:rPr>
        <w:t>Queensland's regulatory focus is centred on The Star casino, with the government again deferring Gold Coast licence suspension as AUSTRAC proceedings loom and governance concerns persist, generating significant advisory demand around gaming remediation and licence conditions. The QBCC has released its 2026-2030 enforcement strategy, consolidating to eight priority harms from fifteen, signalling a more targeted regulatory posture across the construction sector. Mining law reforms are progressing through Parliament, refining third-party objection rights and removing approval duplication, a material change for resources clients. Law firms are also on notice under AML/CTF expansion, with the QLS emphasising that documented compliance proof, not just intent, will determine regulatory exposure.</w:t>
      </w:r>
    </w:p>
    <w:p>
      <w:pPr>
        <w:pStyle w:val="body_letter"/>
      </w:pPr>
      <w:r>
        <w:rPr>
          <w:rFonts w:ascii="Arial" w:hAnsi="Arial"/>
          <w:b/>
          <w:color w:val="000000"/>
          <w:sz w:val="19"/>
        </w:rPr>
        <w:t>Western Australia</w:t>
      </w:r>
    </w:p>
    <w:p>
      <w:pPr>
        <w:pStyle w:val="body_letter"/>
      </w:pPr>
      <w:r>
        <w:rPr>
          <w:rFonts w:ascii="Arial" w:hAnsi="Arial"/>
          <w:b w:val="0"/>
          <w:color w:val="000000"/>
          <w:sz w:val="19"/>
        </w:rPr>
        <w:t>Western Australia's Department of Water and Environmental Regulation (DWER) is defending newly expanded fining powers against Pastoralists and Graziers Association (PGA) concerns, signalling a more assertive enforcement posture for environmental compliance in the resources and agriculture sectors. The WA Government has released the Alternative Electricity Services (AES) framework, establishing a new regulatory structure for electricity service providers outside the mainstream grid, creating immediate compliance obligations for affected operators. Premier Roger Cook has announced long-awaited Equal Opportunity Act reforms, adding employment and service-delivery compliance obligations for WA businesses. Concurrently, Buru Energy's referral of the Rafael Conventional Gas Project to the EPA Western Australia opens another regulatory assessment track in the resources sector, consistent with heightened environmental scrutiny across the state.</w:t>
      </w:r>
    </w:p>
    <w:p>
      <w:pPr>
        <w:pStyle w:val="body_letter"/>
      </w:pPr>
      <w:r>
        <w:rPr>
          <w:rFonts w:ascii="Arial" w:hAnsi="Arial"/>
          <w:b/>
          <w:color w:val="000000"/>
          <w:sz w:val="19"/>
        </w:rPr>
        <w:t>South Australia</w:t>
      </w:r>
    </w:p>
    <w:p>
      <w:pPr>
        <w:pStyle w:val="body_letter"/>
      </w:pPr>
      <w:r>
        <w:rPr>
          <w:rFonts w:ascii="Arial" w:hAnsi="Arial"/>
          <w:b w:val="0"/>
          <w:color w:val="000000"/>
          <w:sz w:val="19"/>
        </w:rPr>
        <w:t>SafeWork SA is exhibiting an active enforcement posture this period, with charges laid across asbestos exposure, construction site injury, and amusement hire operations, signalling prosecution willingness that SA employers should factor into compliance planning. Two incoming regulatory changes create material advisory demand: new Workplace Exposure Limits are approaching implementation, and SafeWork SA is flagging new psychosocial regulations targeting workplace stress and bullying that will expand employer obligations. Phosphine regulation changes have been deferred following industry consultation, demonstrating that SA's regulatory process remains responsive to stakeholder submissions. A parallel SA justice reform streamlining medical examinations for sexual assault survivors reflects a broader state legislative reform agenda beyond WHS.</w:t>
      </w:r>
    </w:p>
    <w:p>
      <w:pPr>
        <w:pStyle w:val="body_letter"/>
      </w:pPr>
      <w:r>
        <w:rPr>
          <w:rFonts w:ascii="Arial" w:hAnsi="Arial"/>
          <w:b/>
          <w:color w:val="000000"/>
          <w:sz w:val="19"/>
        </w:rPr>
        <w:t>Tasmania</w:t>
      </w:r>
    </w:p>
    <w:p>
      <w:pPr>
        <w:pStyle w:val="body_letter"/>
      </w:pPr>
      <w:r>
        <w:rPr>
          <w:rFonts w:ascii="Arial" w:hAnsi="Arial"/>
          <w:b w:val="0"/>
          <w:color w:val="000000"/>
          <w:sz w:val="19"/>
        </w:rPr>
        <w:t>Tasmania's Legislative Council has launched a formal inquiry into the state's abandoned cashless pokies card scheme against a backdrop of $18.1M in monthly gaming losses, creating a significant advisory opportunity around gambling harm-reduction regulation. Commission of Inquiry reform legislation has been introduced to parliament, with the Implementation Monitor welcoming the changes. Firearms reform is stalled after the government shelved proposed law changes amid pushback over the absence of licence caps, while a firearms noise suppressors discussion paper signals further regulatory consultation ahead. The attorney-general has demanded an explanation from the parole board after it relied on AI-hallucinated case law to restrict a parolee, raising state-level governance and AI-use compliance questions across public-sector decision-making bodies.</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Government has introduced legislation to enact significant gambling reforms, including mandatory cashless gaming and a reduction in electronic gaming machine numbers across the territory, marking a substantive shift in gaming regulation with compliance implications for venues and operators. Access Canberra's head has publicly acknowledged the agency could be more transparent in lease decision-making, signalling likely procedural reforms to land administration processes and potential compliance exposure for existing lessees. The ongoing Big Splash development saga continues to expose gaps in ACT regulatory oversight and accountability frameworks. Together these developments create advisory opportunities across gaming compliance uplift, land-use regulatory risk, and administrative law.</w:t>
      </w:r>
    </w:p>
    <w:p>
      <w:pPr>
        <w:pStyle w:val="body_letter"/>
      </w:pPr>
      <w:r>
        <w:rPr>
          <w:rFonts w:ascii="Arial" w:hAnsi="Arial"/>
          <w:b/>
          <w:color w:val="000000"/>
          <w:sz w:val="19"/>
        </w:rPr>
        <w:t>Northern Territory</w:t>
      </w:r>
    </w:p>
    <w:p>
      <w:pPr>
        <w:pStyle w:val="body_letter"/>
      </w:pPr>
      <w:r>
        <w:rPr>
          <w:rFonts w:ascii="Arial" w:hAnsi="Arial"/>
          <w:b w:val="0"/>
          <w:color w:val="000000"/>
          <w:sz w:val="19"/>
        </w:rPr>
        <w:t>The NT regulatory landscape is active across three fronts. The NT environmental regulator has halted assessment of Project Ares, a large AI data centre proposed for a remote cattle station, citing low confidence in the proponent's environmental plan and seeking further detail, this coincides with Labor backing a hyper-scale data centre moratorium and an opposition call for the same, signalling a likely regulatory tightening for large-scale data infrastructure approvals in the Territory. A NT bill proposing deposit caps and an inducement ban on bookmakers is advancing through parliament, with cross-party MP pressure for stronger penalties, placing interactive wagering operators licensed through the NT Racing Commission on notice for material compliance changes. Separately, the NT government is overhauling teacher registration boards amid a contested restructure opposed by unions, and has released proposed new residential tenancy laws for public consultation, both creating near-term advisory opportunities in workforce regulation and property law reform.</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29"/>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yperlink" Target="https://www.asic.gov.au/about-asic/news-centre/find-a-media-release/2026-releases/26-252mr-visy-and-pratt-companies-pay-over-41-million-in-infringement-notices-for-failing-to-lodge-financial-reports-on-time" TargetMode="External"/><Relationship Id="rId11" Type="http://schemas.openxmlformats.org/officeDocument/2006/relationships/hyperlink" Target="https://www.theguardian.com/australia-news/2026/oct/21/afp-warns-australia-of-tsunami-of-youth-and-radicalisation-accelerated-by-ai" TargetMode="External"/><Relationship Id="rId12" Type="http://schemas.openxmlformats.org/officeDocument/2006/relationships/hyperlink" Target="https://www.themandarin.com.au/322589-fair-work-commission-issues-gen-ai-prompts-to-mitigate-slop-case-onslaught/" TargetMode="External"/><Relationship Id="rId13" Type="http://schemas.openxmlformats.org/officeDocument/2006/relationships/hyperlink" Target="https://www.afr.com/politics/federal/court-losses-and-phantom-penalties-push-asic-90m-into-the-red-20261020-p616t6" TargetMode="External"/><Relationship Id="rId14" Type="http://schemas.openxmlformats.org/officeDocument/2006/relationships/hyperlink" Target="https://www.asic.gov.au/about-asic/news-centre/find-a-media-release/2026-releases/26-248mr-asics-annual-report-outlines-strong-enforcement-and-consumer-outcomes" TargetMode="External"/><Relationship Id="rId15" Type="http://schemas.openxmlformats.org/officeDocument/2006/relationships/hyperlink" Target="https://www.biometricupdate.com/202610/australia-could-make-esafety-a-committee-to-handle-enforcement-for-duty-of-care-bill" TargetMode="External"/><Relationship Id="rId16" Type="http://schemas.openxmlformats.org/officeDocument/2006/relationships/hyperlink" Target="https://www.thelawyermag.com/au/news/general/fcfcoa-deputy-chief-justice-is-planned-national-anti-corruption-commissioner/594055" TargetMode="External"/><Relationship Id="rId17" Type="http://schemas.openxmlformats.org/officeDocument/2006/relationships/hyperlink" Target="https://www.themandarin.com.au/322572-auditor-general-says-not-all-ad-campaigns-apolitical/" TargetMode="External"/><Relationship Id="rId18" Type="http://schemas.openxmlformats.org/officeDocument/2006/relationships/hyperlink" Target="https://www.worksafe.vic.gov.au/new-infringement-notices-falls-and-high-risk-construction-work-offences" TargetMode="External"/><Relationship Id="rId19" Type="http://schemas.openxmlformats.org/officeDocument/2006/relationships/hyperlink" Target="https://www.nortonrosefulbright.com/en-au/knowledge/publications/4a8ec6bb/epbc-act-reforms" TargetMode="External"/><Relationship Id="rId20" Type="http://schemas.openxmlformats.org/officeDocument/2006/relationships/hyperlink" Target="https://thewest.com.au/business/mining/albanese-government-to-start-consultation-on-heritage-laws-overhaul-in-wake-of-mcphillamys-ruling-c-23027849" TargetMode="External"/><Relationship Id="rId21" Type="http://schemas.openxmlformats.org/officeDocument/2006/relationships/hyperlink" Target="https://www.insurancebusinessmag.com/au/news/workers-compensation/uninsurable-whs-fines-meet-tougher-psychosocial-enforcement-594223.aspx" TargetMode="External"/><Relationship Id="rId22" Type="http://schemas.openxmlformats.org/officeDocument/2006/relationships/hyperlink" Target="https://www.abc.net.au/news/2026-10-13/safeguard-mechanism-loophole-coal-expansions/107246600" TargetMode="External"/><Relationship Id="rId23" Type="http://schemas.openxmlformats.org/officeDocument/2006/relationships/hyperlink" Target="https://www.abc.net.au/news/2026-10-10/firmus-generators-epa-appeal-watchdog/107247476" TargetMode="External"/><Relationship Id="rId24" Type="http://schemas.openxmlformats.org/officeDocument/2006/relationships/hyperlink" Target="https://www.afma.gov.au/news/australian-indonesia-vms-pilot-program-coordination-meeting" TargetMode="External"/><Relationship Id="rId25" Type="http://schemas.openxmlformats.org/officeDocument/2006/relationships/hyperlink" Target="https://ccyp.vic.gov.au/news/commission-presents-evidence-for-action-on-children-in-annual-report" TargetMode="External"/><Relationship Id="rId26" Type="http://schemas.openxmlformats.org/officeDocument/2006/relationships/hyperlink" Target="https://www.propertycouncil.com.au/event/free-exclusive-member-briefing-from-legislation-to-implementation-nsws-building-reforms-unpack" TargetMode="External"/><Relationship Id="rId27" Type="http://schemas.openxmlformats.org/officeDocument/2006/relationships/hyperlink" Target="https://www.esc.vic.gov.au/media-centre/commission-seeks-feedback-greater-western-waters-request-delay-setting-new-prices" TargetMode="External"/><Relationship Id="rId28" Type="http://schemas.openxmlformats.org/officeDocument/2006/relationships/hyperlink" Target="https://www.proactiveinvestors.com/companies/news/1099932/tech-report-australians-could-gain-right-to-sue-big-tech-under-tougher-online-safety-push-1099932.html" TargetMode="External"/><Relationship Id="rId2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