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- 13-26 October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26 October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regulatory activity across Australia clusters around environmental enforcement and resource sector approvals, with EPA Victoria running compliance blitzes on skip bins and data centre pollution, South Australian EPA banning unsafe groundwater use, and federal and state agencies advancing critical minerals and energy storage approvals in WA and the NT. The most significant advisory opportunity lies in the accelerating intersection of environmental compliance intensity and resource sector growth, where our clients face simultaneous pressure from tightening EPA enforcement and complex multi-jurisdictional approvals, a gap our integrated Regulatory Transformation capability is well placed to bridge. Convene a cross-sector partner roundtable before 10 November to align our environment, energy and resources advisory leads on a unified client outreach targeting the critical minerals and environmental compliance pipeline.</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secured an admission from Perfection Fresh that it fixed the price of vegetables supplied to ALDI, marking a cartel enforcement outcome in the fresh produce sector.</w:t>
      </w:r>
    </w:p>
    <w:p>
      <w:pPr>
        <w:pStyle w:val="ListBullet"/>
      </w:pPr>
      <w:r>
        <w:rPr>
          <w:rFonts w:ascii="Arial" w:hAnsi="Arial"/>
          <w:b/>
          <w:color w:val="000000"/>
          <w:sz w:val="19"/>
        </w:rPr>
        <w:t>Office of the Australian Information Commissioner</w:t>
      </w:r>
      <w:r>
        <w:rPr>
          <w:rFonts w:ascii="Arial" w:hAnsi="Arial"/>
          <w:color w:val="000000"/>
          <w:sz w:val="19"/>
        </w:rPr>
        <w:t xml:space="preserve"> - </w:t>
      </w:r>
      <w:r>
        <w:rPr>
          <w:rFonts w:ascii="Arial" w:hAnsi="Arial"/>
          <w:color w:val="000000"/>
          <w:sz w:val="19"/>
        </w:rPr>
        <w:t>OAIC published statistics showing a material increase in large-scale data breaches notified under the Notifiable Data Breaches scheme, signalling heightened regulatory scrutiny for data custodians.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Commonwealth Ombudsman</w:t>
      </w:r>
      <w:r>
        <w:rPr>
          <w:rFonts w:ascii="Arial" w:hAnsi="Arial"/>
          <w:color w:val="000000"/>
          <w:sz w:val="19"/>
        </w:rPr>
        <w:t xml:space="preserve"> - </w:t>
      </w:r>
      <w:r>
        <w:rPr>
          <w:rFonts w:ascii="Arial" w:hAnsi="Arial"/>
          <w:color w:val="000000"/>
          <w:sz w:val="19"/>
        </w:rPr>
        <w:t>The Commonwealth Ombudsman issued a damning investigation finding that the government's algorithm-based aged care assessment tool is unreasonable and unfair, creating compliance and reputational…</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Health, Disability and Ageing</w:t>
      </w:r>
      <w:r>
        <w:rPr>
          <w:rFonts w:ascii="Arial" w:hAnsi="Arial"/>
          <w:color w:val="000000"/>
          <w:sz w:val="19"/>
        </w:rPr>
        <w:t xml:space="preserve"> - </w:t>
      </w:r>
      <w:r>
        <w:rPr>
          <w:rFonts w:ascii="Arial" w:hAnsi="Arial"/>
          <w:color w:val="000000"/>
          <w:sz w:val="19"/>
        </w:rPr>
        <w:t>The Department of Health, Disability and Ageing announced strengthened registration requirements for NDIS providers, lifting the compliance burden on disability services organisations.</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Charities and Not-for-profits Commission</w:t>
      </w:r>
      <w:r>
        <w:rPr>
          <w:rFonts w:ascii="Arial" w:hAnsi="Arial"/>
          <w:color w:val="000000"/>
          <w:sz w:val="19"/>
        </w:rPr>
        <w:t xml:space="preserve"> - </w:t>
      </w:r>
      <w:r>
        <w:rPr>
          <w:rFonts w:ascii="Arial" w:hAnsi="Arial"/>
          <w:color w:val="000000"/>
          <w:sz w:val="19"/>
        </w:rPr>
        <w:t>ACNC tabled its 2025-26 Annual Report in Parliament, documenting significant growth in the registered charity sector and the commission's expanded oversight activity.</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APRA's new deputy chair publicly identified the key systemic risks at the forefront of the regulator's supervisory agenda, signalling near-term areas of heightened prudential focus for regulated…</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Office of the Australian Information Commissioner</w:t>
      </w:r>
      <w:r>
        <w:rPr>
          <w:rFonts w:ascii="Arial" w:hAnsi="Arial"/>
          <w:color w:val="000000"/>
          <w:sz w:val="19"/>
        </w:rPr>
        <w:t xml:space="preserve"> - </w:t>
      </w:r>
      <w:r>
        <w:rPr>
          <w:rFonts w:ascii="Arial" w:hAnsi="Arial"/>
          <w:color w:val="000000"/>
          <w:sz w:val="19"/>
        </w:rPr>
        <w:t>OAIC released its annual report showing Australians are increasingly exercising privacy and freedom of information rights, with rising complaint and enquiry volumes pointing to a more assertive…</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Victoria published guidance on data centre pollution, flagging noise, heat, and emissions as compliance concerns for operators as the sector expands rapidly.</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Criminal Intelligence Commission</w:t>
      </w:r>
      <w:r>
        <w:rPr>
          <w:rFonts w:ascii="Arial" w:hAnsi="Arial"/>
          <w:color w:val="000000"/>
          <w:sz w:val="19"/>
        </w:rPr>
        <w:t xml:space="preserve"> - </w:t>
      </w:r>
      <w:r>
        <w:rPr>
          <w:rFonts w:ascii="Arial" w:hAnsi="Arial"/>
          <w:color w:val="000000"/>
          <w:sz w:val="19"/>
        </w:rPr>
        <w:t>The Law Council of Australia aligned with a parliamentary committee recommendation to curtail ACIC's coercive examination powers, intensifying pressure for legislative reform of the commission's…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Fair Work Ombudsman</w:t>
      </w:r>
      <w:r>
        <w:rPr>
          <w:rFonts w:ascii="Arial" w:hAnsi="Arial"/>
          <w:color w:val="000000"/>
          <w:sz w:val="19"/>
        </w:rPr>
        <w:t xml:space="preserve"> - </w:t>
      </w:r>
      <w:r>
        <w:rPr>
          <w:rFonts w:ascii="Arial" w:hAnsi="Arial"/>
          <w:color w:val="000000"/>
          <w:sz w:val="19"/>
        </w:rPr>
        <w:t>The Fair Work Ombudsman published updated guidance on new working-from-home provisions in the Clerks Award, requiring employers to review and formalise hybrid work arrangements for award-covered…</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Consumer Affairs Victoria suspended a real estate agent's licence following six consecutive years of trust account audit failures, underscoring the regulator's appetite for licence action against…</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Communications and Media Authority</w:t>
      </w:r>
      <w:r>
        <w:rPr>
          <w:rFonts w:ascii="Arial" w:hAnsi="Arial"/>
          <w:color w:val="000000"/>
          <w:sz w:val="19"/>
        </w:rPr>
        <w:t xml:space="preserve"> - </w:t>
      </w:r>
      <w:r>
        <w:rPr>
          <w:rFonts w:ascii="Arial" w:hAnsi="Arial"/>
          <w:color w:val="000000"/>
          <w:sz w:val="19"/>
        </w:rPr>
        <w:t>ACMA and the eSafety Commissioner jointly tabled their 2025-26 Annual Report, outlining enforcement activity and strategic priorities across broadcasting, online safety, and communications regulation.</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VAGO finds not all government advertising apolitical</w:t>
      </w:r>
    </w:p>
    <w:p>
      <w:pPr>
        <w:pStyle w:val="ListBullet"/>
      </w:pPr>
      <w:r>
        <w:rPr>
          <w:rFonts w:ascii="Arial" w:hAnsi="Arial"/>
          <w:b/>
          <w:color w:val="000000"/>
          <w:sz w:val="19"/>
        </w:rPr>
        <w:t>Victorian WorkCover Authority (WorkSafe Victoria)</w:t>
      </w:r>
      <w:r>
        <w:rPr>
          <w:rFonts w:ascii="Arial" w:hAnsi="Arial"/>
          <w:color w:val="000000"/>
          <w:sz w:val="19"/>
        </w:rPr>
        <w:t xml:space="preserve"> - </w:t>
      </w:r>
      <w:r>
        <w:rPr>
          <w:rFonts w:ascii="Arial" w:hAnsi="Arial"/>
          <w:color w:val="000000"/>
          <w:sz w:val="19"/>
        </w:rPr>
        <w:t>New infringement notices for falls and high-risk construction offences</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New minimum energy efficiency standards for rental properties</w:t>
      </w:r>
    </w:p>
    <w:p>
      <w:pPr>
        <w:pStyle w:val="body_letter"/>
      </w:pPr>
      <w:r>
        <w:rPr>
          <w:rFonts w:ascii="Arial" w:hAnsi="Arial"/>
          <w:b/>
          <w:color w:val="000000"/>
          <w:sz w:val="19"/>
        </w:rPr>
        <w:t>Commonwealth</w:t>
      </w:r>
    </w:p>
    <w:p>
      <w:pPr>
        <w:pStyle w:val="ListBullet"/>
      </w:pPr>
      <w:r>
        <w:rPr>
          <w:rFonts w:ascii="Arial" w:hAnsi="Arial"/>
          <w:b/>
          <w:color w:val="000000"/>
          <w:sz w:val="19"/>
        </w:rPr>
        <w:t>Department of Finance</w:t>
      </w:r>
      <w:r>
        <w:rPr>
          <w:rFonts w:ascii="Arial" w:hAnsi="Arial"/>
          <w:color w:val="000000"/>
          <w:sz w:val="19"/>
        </w:rPr>
        <w:t xml:space="preserve"> - </w:t>
      </w:r>
      <w:r>
        <w:rPr>
          <w:rFonts w:ascii="Arial" w:hAnsi="Arial"/>
          <w:color w:val="000000"/>
          <w:sz w:val="19"/>
        </w:rPr>
        <w:t>Finance commissions independent review of KPMG Australia</w:t>
      </w:r>
    </w:p>
    <w:p>
      <w:pPr>
        <w:pStyle w:val="ListBullet"/>
      </w:pPr>
      <w:r>
        <w:rPr>
          <w:rFonts w:ascii="Arial" w:hAnsi="Arial"/>
          <w:b/>
          <w:color w:val="000000"/>
          <w:sz w:val="19"/>
        </w:rPr>
        <w:t>Commonwealth Ombudsman</w:t>
      </w:r>
      <w:r>
        <w:rPr>
          <w:rFonts w:ascii="Arial" w:hAnsi="Arial"/>
          <w:color w:val="000000"/>
          <w:sz w:val="19"/>
        </w:rPr>
        <w:t xml:space="preserve"> - </w:t>
      </w:r>
      <w:r>
        <w:rPr>
          <w:rFonts w:ascii="Arial" w:hAnsi="Arial"/>
          <w:color w:val="000000"/>
          <w:sz w:val="19"/>
        </w:rPr>
        <w:t>Ombudsman investigation criticises aged care algorithm tool</w:t>
      </w:r>
    </w:p>
    <w:p>
      <w:pPr>
        <w:pStyle w:val="ListBullet"/>
      </w:pPr>
      <w:r>
        <w:rPr>
          <w:rFonts w:ascii="Arial" w:hAnsi="Arial"/>
          <w:b/>
          <w:color w:val="000000"/>
          <w:sz w:val="19"/>
        </w:rPr>
        <w:t>Office of the Australian Information Commissioner</w:t>
      </w:r>
      <w:r>
        <w:rPr>
          <w:rFonts w:ascii="Arial" w:hAnsi="Arial"/>
          <w:color w:val="000000"/>
          <w:sz w:val="19"/>
        </w:rPr>
        <w:t xml:space="preserve"> - </w:t>
      </w:r>
      <w:r>
        <w:rPr>
          <w:rFonts w:ascii="Arial" w:hAnsi="Arial"/>
          <w:color w:val="000000"/>
          <w:sz w:val="19"/>
        </w:rPr>
        <w:t>Large-scale data breaches on the rise, OAIC statistics confirm</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Senate inquiry to scrutinise critical minerals sector</w:t>
      </w:r>
      <w:r>
        <w:rPr>
          <w:rFonts w:ascii="Arial" w:hAnsi="Arial"/>
          <w:color w:val="000000"/>
          <w:sz w:val="19"/>
        </w:rPr>
        <w:t xml:space="preserve"> - </w:t>
      </w:r>
      <w:r>
        <w:rPr>
          <w:rFonts w:ascii="Arial" w:hAnsi="Arial"/>
          <w:color w:val="000000"/>
          <w:sz w:val="19"/>
        </w:rPr>
        <w:t>A parliamentary inquiry into Australia's critical minerals sector has been announced, placing supply chain security, sovereign processing capability and regulatory settings under direct legislative…</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AER grants hydrogen ring-fencing exemptions for AGN trial projects</w:t>
      </w:r>
      <w:r>
        <w:rPr>
          <w:rFonts w:ascii="Arial" w:hAnsi="Arial"/>
          <w:color w:val="000000"/>
          <w:sz w:val="19"/>
        </w:rPr>
        <w:t xml:space="preserve"> - </w:t>
      </w:r>
      <w:r>
        <w:rPr>
          <w:rFonts w:ascii="Arial" w:hAnsi="Arial"/>
          <w:color w:val="000000"/>
          <w:sz w:val="19"/>
        </w:rPr>
        <w:t>The Australian Energy Regulator has published a draft decision to grant ring-fencing exemptions for Australian Gas Networks' hydrogen trial projects at HyP Gladstone and HyP SA, establishing a new…</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Federal Court heritage ruling prompts call for regulatory confidence</w:t>
      </w:r>
      <w:r>
        <w:rPr>
          <w:rFonts w:ascii="Arial" w:hAnsi="Arial"/>
          <w:color w:val="000000"/>
          <w:sz w:val="19"/>
        </w:rPr>
        <w:t xml:space="preserve"> - </w:t>
      </w:r>
      <w:r>
        <w:rPr>
          <w:rFonts w:ascii="Arial" w:hAnsi="Arial"/>
          <w:color w:val="000000"/>
          <w:sz w:val="19"/>
        </w:rPr>
        <w:t>The Minerals Council of Australia has called on government to strengthen the cultural heritage protection framework following a Federal Court decision that deepened uncertainty for project…</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EPA bans Adelaide groundwater use over contamination risk</w:t>
      </w:r>
      <w:r>
        <w:rPr>
          <w:rFonts w:ascii="Arial" w:hAnsi="Arial"/>
          <w:color w:val="000000"/>
          <w:sz w:val="19"/>
        </w:rPr>
        <w:t xml:space="preserve"> - </w:t>
      </w:r>
      <w:r>
        <w:rPr>
          <w:rFonts w:ascii="Arial" w:hAnsi="Arial"/>
          <w:color w:val="000000"/>
          <w:sz w:val="19"/>
        </w:rPr>
        <w:t>The South Australian EPA has issued a prohibition on groundwater use at an Adelaide site after detecting unsafe contamination levels, signalling tightened enforcement posture on legacy environmental…</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Acusensus wins expanded AI enforcement mandate in the ACT</w:t>
      </w:r>
      <w:r>
        <w:rPr>
          <w:rFonts w:ascii="Arial" w:hAnsi="Arial"/>
          <w:color w:val="000000"/>
          <w:sz w:val="19"/>
        </w:rPr>
        <w:t xml:space="preserve"> - </w:t>
      </w:r>
      <w:r>
        <w:rPr>
          <w:rFonts w:ascii="Arial" w:hAnsi="Arial"/>
          <w:color w:val="000000"/>
          <w:sz w:val="19"/>
        </w:rPr>
        <w:t>The ACT Government has expanded its contract with Acusensus to deploy AI-powered detection technology across a broader range of road enforcement use cases, including mobile phone and seatbelt…</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NHVR signals shift to intelligence-led enforcement</w:t>
      </w:r>
      <w:r>
        <w:rPr>
          <w:rFonts w:ascii="Arial" w:hAnsi="Arial"/>
          <w:color w:val="000000"/>
          <w:sz w:val="19"/>
        </w:rPr>
        <w:t xml:space="preserve"> - </w:t>
      </w:r>
      <w:r>
        <w:rPr>
          <w:rFonts w:ascii="Arial" w:hAnsi="Arial"/>
          <w:color w:val="000000"/>
          <w:sz w:val="19"/>
        </w:rPr>
        <w:t>The National Heavy Vehicle Regulator has clarified a strategic shift in its enforcement and education model, moving toward targeted, data-driven compliance activity rather than broad-based…</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National EPA's EPBC enforcement and restoration framework takes shape</w:t>
      </w:r>
      <w:r>
        <w:rPr>
          <w:rFonts w:ascii="Arial" w:hAnsi="Arial"/>
          <w:color w:val="000000"/>
          <w:sz w:val="19"/>
        </w:rPr>
        <w:t xml:space="preserve"> - </w:t>
      </w:r>
      <w:r>
        <w:rPr>
          <w:rFonts w:ascii="Arial" w:hAnsi="Arial"/>
          <w:color w:val="000000"/>
          <w:sz w:val="19"/>
        </w:rPr>
        <w:t>Norton Rose Fulbright has analysed the incoming National EPA's proposed enforcement and restoration contribution framework under EPBC Act reforms, identifying significant new compliance obligations…</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Albanese Government consults on heritage laws overhaul post-McPhillamys</w:t>
      </w:r>
      <w:r>
        <w:rPr>
          <w:rFonts w:ascii="Arial" w:hAnsi="Arial"/>
          <w:color w:val="000000"/>
          <w:sz w:val="19"/>
        </w:rPr>
        <w:t xml:space="preserve"> - </w:t>
      </w:r>
      <w:r>
        <w:rPr>
          <w:rFonts w:ascii="Arial" w:hAnsi="Arial"/>
          <w:color w:val="000000"/>
          <w:sz w:val="19"/>
        </w:rPr>
        <w:t>The Albanese Government has launched consultation on an overhaul of Commonwealth heritage protection laws following the McPhillamys Federal Court ruling, adding regulatory uncertainty for resources…</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Tasmania's reformed residential parks framework commences</w:t>
      </w:r>
      <w:r>
        <w:rPr>
          <w:rFonts w:ascii="Arial" w:hAnsi="Arial"/>
          <w:color w:val="000000"/>
          <w:sz w:val="19"/>
        </w:rPr>
        <w:t xml:space="preserve"> - </w:t>
      </w:r>
      <w:r>
        <w:rPr>
          <w:rFonts w:ascii="Arial" w:hAnsi="Arial"/>
          <w:color w:val="000000"/>
          <w:sz w:val="19"/>
        </w:rPr>
        <w:t>Tasmania's new residential parks regulatory framework has taken effect, consolidating resident rights and operator obligations under a reformed legislative model aimed at reducing disputes and…</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body_letter"/>
      </w:pPr>
      <w:r>
        <w:rPr>
          <w:rFonts w:ascii="Arial" w:hAnsi="Arial"/>
          <w:i/>
          <w:color w:val="666666"/>
          <w:sz w:val="19"/>
        </w:rPr>
        <w:t>No upcoming events in the next four weeks.</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The fortnight's sharpest regulatory investment signals cluster across three themes: the AER's active accommodation of hydrogen infrastructure through AGN's HyP Gladstone and HyP SA ring-fencing exemptions, the Commonwealth and WA Government's accelerating critical minerals policy and investment architecture, and the EPBC reform machinery crystallising around the incoming National EPA's enforcement posture. AGN, Transgrid, and the Waratah Super Battery project are all in live AER proceedings simultaneously, each a credible entry point for the energy regulation practice before determinations lock in. The WA Government's critical minerals pipeline prospectus, the federal parliamentary inquiry, Geoscience Australia's precompetitive investment, and US stockpile price-signal reporting collectively create a multi-jurisdiction BD window on policy design, permitting, and investment facilitation that must be jointly prosecuted across PEPI and the resources sector team. The Acusensus ACT road enforcement contract is the fortnight's clearest procurement proof-point, and state-level pipeline conversations in Victoria, NSW, and Queensland should be opened immediately using ACT as the reference case. Norton Rose Fulbright's read of the National EPA's enforcement and restoration contribution posture, combined with the Federal Court's McPhillamys heritage ruling driving WA's heritage law overhaul and the ABC's reporting on Safeguard Mechanism loopholes for new coal and gas, signals that resources clients face compounding approval and compliance risk, a structured regulatory readiness offer is timely. The AER and ACCC annual report release confirms both regulators are resetting cost-recovery and enforcement ambition, reinforcing demand for network and market-participant compliance program redesign across the energy client roster. With the Department of Finance review of KPMG Australia still live, every Federal Government engagement principal must apply heightened conflict discipline across all Commonwealth energy, environment, and resources pursuits this fortnight.</w:t>
      </w:r>
    </w:p>
    <w:p>
      <w:pPr>
        <w:pStyle w:val="body_letter"/>
      </w:pPr>
      <w:r>
        <w:rPr>
          <w:rFonts w:ascii="Arial" w:hAnsi="Arial"/>
          <w:b/>
          <w:color w:val="000000"/>
          <w:sz w:val="19"/>
        </w:rPr>
        <w:t>Business development priorities</w:t>
      </w:r>
    </w:p>
    <w:p>
      <w:pPr>
        <w:pStyle w:val="ListBullet"/>
      </w:pPr>
      <w:r>
        <w:rPr>
          <w:rFonts w:ascii="Arial" w:hAnsi="Arial"/>
          <w:color w:val="000000"/>
          <w:sz w:val="19"/>
        </w:rPr>
        <w:t>Engage AGN and peer energy network clients on compliance design and network separation frameworks for hydrogen trial projects before the AER ring-fencing draft decision is finalised.</w:t>
      </w:r>
    </w:p>
    <w:p>
      <w:pPr>
        <w:pStyle w:val="ListBullet"/>
      </w:pPr>
      <w:r>
        <w:rPr>
          <w:rFonts w:ascii="Arial" w:hAnsi="Arial"/>
          <w:color w:val="000000"/>
          <w:sz w:val="19"/>
        </w:rPr>
        <w:t>Convene a joint PEPI and resources sector team to pursue the WA Government, Commonwealth, and Geoscience Australia critical minerals clients ahead of the parliamentary inquiry's public hearings, leading with policy framing and investment facilitation advisory.</w:t>
      </w:r>
    </w:p>
    <w:p>
      <w:pPr>
        <w:pStyle w:val="ListBullet"/>
      </w:pPr>
      <w:r>
        <w:rPr>
          <w:rFonts w:ascii="Arial" w:hAnsi="Arial"/>
          <w:color w:val="000000"/>
          <w:sz w:val="19"/>
        </w:rPr>
        <w:t>Open state government pipeline conversations in Victoria, NSW, and Queensland using the Acusensus ACT road enforcement contract as the reference procurement, targeting intelligent transport infrastructure advisory and delivery assurance mandates.</w:t>
      </w:r>
    </w:p>
    <w:p>
      <w:pPr>
        <w:pStyle w:val="ListBullet"/>
      </w:pPr>
      <w:r>
        <w:rPr>
          <w:rFonts w:ascii="Arial" w:hAnsi="Arial"/>
          <w:color w:val="000000"/>
          <w:sz w:val="19"/>
        </w:rPr>
        <w:t>Brief resources sector clients on the National EPA's emerging enforcement and restoration contribution posture and the McPhillamys heritage precedent, positioning KPMG to lead EPBC regulatory readiness assessments before the new agency's compliance approach is settled.</w:t>
      </w:r>
    </w:p>
    <w:p>
      <w:pPr>
        <w:pStyle w:val="ListBullet"/>
      </w:pPr>
      <w:r>
        <w:rPr>
          <w:rFonts w:ascii="Arial" w:hAnsi="Arial"/>
          <w:color w:val="000000"/>
          <w:sz w:val="19"/>
        </w:rPr>
        <w:t>Pursue an independent adviser position on the Waratah Super Battery revenue determination review and the Transgrid cost pass-through application, treating both live AER proceedings as near-term entry points for the energy regulation practice.</w:t>
      </w:r>
    </w:p>
    <w:p>
      <w:pPr>
        <w:pStyle w:val="body_letter"/>
      </w:pPr>
      <w:r>
        <w:rPr>
          <w:rFonts w:ascii="Arial" w:hAnsi="Arial"/>
          <w:b/>
          <w:color w:val="000000"/>
          <w:sz w:val="19"/>
        </w:rPr>
        <w:t>Implications for clients</w:t>
      </w:r>
    </w:p>
    <w:p>
      <w:pPr>
        <w:pStyle w:val="ListBullet"/>
      </w:pPr>
      <w:r>
        <w:rPr>
          <w:rFonts w:ascii="Arial" w:hAnsi="Arial"/>
          <w:color w:val="000000"/>
          <w:sz w:val="19"/>
        </w:rPr>
        <w:t>Engage AGN and peer energy network clients on compliance design and network separation frameworks for hydrogen trial projects before the AER ring-fencing draft decision is finalised.</w:t>
      </w:r>
    </w:p>
    <w:p>
      <w:pPr>
        <w:pStyle w:val="ListBullet"/>
      </w:pPr>
      <w:r>
        <w:rPr>
          <w:rFonts w:ascii="Arial" w:hAnsi="Arial"/>
          <w:color w:val="000000"/>
          <w:sz w:val="19"/>
        </w:rPr>
        <w:t>Convene a joint PEPI and resources sector team to pursue the WA Government, Commonwealth, and Geoscience Australia critical minerals clients ahead of the parliamentary inquiry's public hearings, leading with policy framing and investment facilitation advisory.</w:t>
      </w:r>
    </w:p>
    <w:p>
      <w:pPr>
        <w:pStyle w:val="ListBullet"/>
      </w:pPr>
      <w:r>
        <w:rPr>
          <w:rFonts w:ascii="Arial" w:hAnsi="Arial"/>
          <w:color w:val="000000"/>
          <w:sz w:val="19"/>
        </w:rPr>
        <w:t>Open state government pipeline conversations in Victoria, NSW, and Queensland using the Acusensus ACT road enforcement contract as the reference procurement, targeting intelligent transport infrastructure advisory and delivery assurance mandates.</w:t>
      </w:r>
    </w:p>
    <w:p>
      <w:pPr>
        <w:pStyle w:val="ListBullet"/>
      </w:pPr>
      <w:r>
        <w:rPr>
          <w:rFonts w:ascii="Arial" w:hAnsi="Arial"/>
          <w:color w:val="000000"/>
          <w:sz w:val="19"/>
        </w:rPr>
        <w:t>Brief resources sector clients on the National EPA's emerging enforcement and restoration contribution posture and the McPhillamys heritage precedent, positioning KPMG to lead EPBC regulatory readiness assessments before the new agency's compliance approach is settled.</w:t>
      </w:r>
    </w:p>
    <w:p>
      <w:pPr>
        <w:pStyle w:val="ListBullet"/>
      </w:pPr>
      <w:r>
        <w:rPr>
          <w:rFonts w:ascii="Arial" w:hAnsi="Arial"/>
          <w:color w:val="000000"/>
          <w:sz w:val="19"/>
        </w:rPr>
        <w:t>Pursue an independent adviser position on the Waratah Super Battery revenue determination review and the Transgrid cost pass-through application, treating both live AER proceedings as near-term entry points for the energy regulation practice.</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OAIC's annual report and concurrent data-breach statistics confirm sustained Commonwealth investment in privacy enforcement capability, large-scale breaches are rising and FOI demand is growing, creating a well-scoped assurance and privacy-uplift engagement window. The Commonwealth Ombudsman's finding that the aged-care algorithm tool operates as a 'technological black box', drawing explicit parallels to Robodebt, signals that responsible-AI governance in Commonwealth service delivery is now an active accountability risk for agency clients and a concrete advisory pull. The Department of Finance has commissioned an independent review of KPMG Australia, a material factor that every Federal Government engagement principal must front-of-mind before any pursuit action, proposal submission, or client relationship move this fortnight. Taken together, the regulatory signals point to Federal and Victorian clients under simultaneous pressure on algorithmic accountability, data security posture, and transparency obligations, three areas where KPMG risk, assurance, and technology practices can credibly differentiate.</w:t>
      </w:r>
    </w:p>
    <w:p>
      <w:pPr>
        <w:pStyle w:val="body_letter"/>
      </w:pPr>
      <w:r>
        <w:rPr>
          <w:rFonts w:ascii="Arial" w:hAnsi="Arial"/>
          <w:b/>
          <w:color w:val="000000"/>
          <w:sz w:val="19"/>
        </w:rPr>
        <w:t>Financial Services</w:t>
      </w:r>
    </w:p>
    <w:p>
      <w:pPr>
        <w:pStyle w:val="body_letter"/>
      </w:pPr>
      <w:r>
        <w:rPr>
          <w:rFonts w:ascii="Arial" w:hAnsi="Arial"/>
          <w:b w:val="0"/>
          <w:color w:val="000000"/>
          <w:sz w:val="19"/>
        </w:rPr>
        <w:t>ASIC's CP 392 consultation on digital asset law reform (licensing standards and guidance) opens a significant implementation advisory window, firms holding or seeking Australian Market Licence equivalents for crypto will need gap assessments before standards are locked in. ASIC's targeted review of superannuation fund valuations (REP 841) identifies systemic weaknesses in unlisted asset methodology and audit scrutiny, signalling near-term assurance demand across mid-tier and industry funds. The $1.35 million penalty against Fortnum Private Wealth for cybersecurity failures, ASIC's most visible cyber enforcement action to date against a wealth manager, sharpens the regulator's expectation of baseline cyber controls as a licence condition, not an IT matter. APRA's incoming deputy chair has publicly flagged operational resilience and non-financial risk as priority focus areas, reinforcing the case for a proactive APRA readiness positioning across the banking and insurance client roster.</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NDIS Quality and Safeguards Commission's active regulatory reform program, combined with the Department of Health, Disability and Ageing's tightened provider registration requirements, signals a compliance uplift cycle that will stress-test governance and operational maturity across the disability sector over the next 12-18 months. The Aged Care Quality and Safety Commission's new best-practice guidance on incident management systems creates an immediate advisory entry point for mid-tier residential and home-care providers building governance frameworks under the new Aged Care Act. Ahpra's published principles for outcome-based accreditation and the TGA's completed review of AI-powered digital scribes both indicate regulators resetting the technology compliance baseline in clinical settings, an emerging assurance and regulatory-readiness pitch. Landmark Commonwealth funding to address gender undervaluation in care workforces introduces a pay equity and workforce strategy advisory angle that cuts across disability, aged care, and community services simultaneously.</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draft ring-fencing exemptions for AGN's hydrogen trial projects (HyP Gladstone and HyP SA) mark a tangible shift in regulatory accommodation for hydrogen infrastructure, creating an immediate advisory window on compliance design and network separation frameworks for energy clients entering the hydrogen transition. Concurrently, a federal parliamentary inquiry into critical minerals, alongside the WA Government's critical minerals pipeline prospectus and Geoscience Australia's precompetitive geoscience investment, signals a sustained uplift in policy, permitting, and investment-facilitation workload across Commonwealth and state clients. Australia's formal declaration of the West Peron formation as a CCS storage site for the Bonaparte project sets a regulatory precedent that will drive compliance and risk advisory demand as the offshore storage pipeline builds. The Project EnergyConnect reopener consultation adds a network repricing engagement to the near-term pipeline for the energy regulation practice.</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AUSTRAC's activation of AML/CTF 2.0 civil penalties, $21,840 per breach, with guidance now issued for remittance providers, marks the clearest near-term compliance advisory pull in the portfolio; regulated entities are scrambling to operationalise obligations that took effect this month. Concurrently, the AFP's opening statement to the PJCIS radicalisation inquiry and its foreign interference capability uplift announcement signal sustained Commonwealth investment in counter-terrorism and counter-foreign-interference operating models, creating a pursuit lane for organisation design, technology uplift, and training program advisory. ABF's coordinated illicit firearms and tobacco enforcement actions (WA, national) point to cross-agency intelligence-sharing and targeting maturity reviews as live procurement themes. The Law Council's alignment with the parliamentary committee on limiting ACIC's coercive powers introduces a governance and oversight assurance angle that will require agencies to refresh accountability frameworks regardless of legislative outcome.</w:t>
      </w:r>
    </w:p>
    <w:p>
      <w:pPr>
        <w:pStyle w:val="body_letter"/>
      </w:pPr>
      <w:r>
        <w:rPr>
          <w:rFonts w:ascii="Arial" w:hAnsi="Arial"/>
          <w:b/>
          <w:color w:val="000000"/>
          <w:sz w:val="19"/>
        </w:rPr>
        <w:t>Defence</w:t>
      </w:r>
    </w:p>
    <w:p>
      <w:pPr>
        <w:pStyle w:val="body_letter"/>
      </w:pPr>
      <w:r>
        <w:rPr>
          <w:rFonts w:ascii="Arial" w:hAnsi="Arial"/>
          <w:b w:val="0"/>
          <w:color w:val="000000"/>
          <w:sz w:val="19"/>
        </w:rPr>
        <w:t>AUKUS Pillar II's five-year milestone is generating tangible demand for independent program assurance and capability assessment across advanced technology delivery and allied interoperability, a direct pull-through for KPMG's national security advisory bench. Australia's concurrent push to expand lethal autonomous weapons exports, combined with live scrutiny of Defence Export Controls following the F-35 components report, is pressuring Defence primes and Tier 2 supply-chain participants to uplift trade compliance frameworks ahead of anticipated DEC regulatory tightening. The termination of a 26-year Defence contract signals active procurement reform risk and creates contract governance and transition advisory opportunities for firms positioned as independent advisers. Incoming criminal liability for modern slavery failures in supply chains adds a compliance assurance layer across the Defence industrial base that primes and their advisers cannot defer.</w:t>
      </w:r>
    </w:p>
    <w:p>
      <w:pPr>
        <w:pStyle w:val="body_letter"/>
      </w:pPr>
      <w:r>
        <w:rPr>
          <w:rFonts w:ascii="Arial" w:hAnsi="Arial"/>
          <w:b/>
          <w:color w:val="000000"/>
          <w:sz w:val="19"/>
        </w:rPr>
        <w:t>Transport</w:t>
      </w:r>
    </w:p>
    <w:p>
      <w:pPr>
        <w:pStyle w:val="body_letter"/>
      </w:pPr>
      <w:r>
        <w:rPr>
          <w:rFonts w:ascii="Arial" w:hAnsi="Arial"/>
          <w:b w:val="0"/>
          <w:color w:val="000000"/>
          <w:sz w:val="19"/>
        </w:rPr>
        <w:t>CASA is accelerating its autonomous aviation regulatory architecture this fortnight, the BVLOS trial continuation and AusSORA airworthiness guidance signal sustained Commonwealth investment in capability frameworks that KPMG can support through regulatory design, implementation advisory, and stakeholder engagement. The ACT government's $210m Acusensus traffic enforcement contract is the clearest procurement signal in the period, confirming state appetite for intelligent transport enforcement infrastructure and opening a pipeline conversation for similar engagements in Victoria, NSW, and Queensland. CASA's contested aircraft registration fee and the NTC's voluntary stevedore and ECP guidelines both reflect regulators shifting toward cost-recovery and co-regulatory models, which will drive demand for industry compliance program redesign and regulatory impact advisory. The CASA probe into Vietjet's financial viability is a direct entry point for the aviation financial advisory and assurance practice, with regulatory clients and airline counterparties both needing support.</w:t>
      </w:r>
    </w:p>
    <w:p>
      <w:pPr>
        <w:pStyle w:val="body_letter"/>
      </w:pPr>
      <w:r>
        <w:rPr>
          <w:rFonts w:ascii="Arial" w:hAnsi="Arial"/>
          <w:b/>
          <w:color w:val="000000"/>
          <w:sz w:val="19"/>
        </w:rPr>
        <w:t>Education</w:t>
      </w:r>
    </w:p>
    <w:p>
      <w:pPr>
        <w:pStyle w:val="body_letter"/>
      </w:pPr>
      <w:r>
        <w:rPr>
          <w:rFonts w:ascii="Arial" w:hAnsi="Arial"/>
          <w:b w:val="0"/>
          <w:color w:val="000000"/>
          <w:sz w:val="19"/>
        </w:rPr>
        <w:t>The release of the 2025 Standards for RTOs by DEWR constitutes a material compliance reset across the entire VET sector, every registered provider must assess operations against the new framework, and the window before enforcement matures is the clearest pull-through signal for a structured gap-assessment service line. ASQA's escalated scrutiny of RTO ownership and governance disclosures indicates a shift toward enforcement-led oversight of multi-entity provider structures, creating immediate demand for independent governance health-checks and remediation advisory. ASQA has simultaneously published AI principles for the training sector, anchoring an early-mover advisory angle around AI governance frameworks before sector-specific enforcement solidifies. TEQSA's concurrent Threshold Standard amendments, fee consultation, and the ATEC Disability Inclusion Advisory Committee establishment signal that higher education clients face compounding regulatory pressure, compressing the window for proactive engagement across both VET and university segments.</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ASIC is escalating enforcement with $4m in infringement notices issued to 21 Visy and Pratt group companies while simultaneously running a $90m operating deficit from increased litigation costs, signalling a high-volume, high-cost enforcement posture that raises compliance risk across corporate groups. The Department of Home Affairs has opened engagement on cyber security legislative reforms, creating a near-term advisory window for critical infrastructure and regulated entities. The OAIC's latest report shows Australians are increasingly exercising privacy rights, foreshadowing higher complaint volumes and compliance pressure under the Privacy Act reform pipeline. The Commonwealth Ombudsman's critique of an algorithm-based aged care tool, specifically citing failure to implement robodebt royal commission transparency recommendations, puts automated decision-making governance firmly on Commonwealth regulators' agenda.</w:t>
      </w:r>
    </w:p>
    <w:p>
      <w:pPr>
        <w:pStyle w:val="body_letter"/>
      </w:pPr>
      <w:r>
        <w:rPr>
          <w:rFonts w:ascii="Arial" w:hAnsi="Arial"/>
          <w:b/>
          <w:color w:val="000000"/>
          <w:sz w:val="19"/>
        </w:rPr>
        <w:t>New South Wales</w:t>
      </w:r>
    </w:p>
    <w:p>
      <w:pPr>
        <w:pStyle w:val="body_letter"/>
      </w:pPr>
      <w:r>
        <w:rPr>
          <w:rFonts w:ascii="Arial" w:hAnsi="Arial"/>
          <w:b w:val="0"/>
          <w:color w:val="000000"/>
          <w:sz w:val="19"/>
        </w:rPr>
        <w:t>NSW is legislating a first-of-its-kind independent Office of Animal Welfare, creating a new regulatory body with significant compliance obligations for animal industries and veterinary sectors. SafeWork NSW is running active enforcement campaigns, including a mental health risk investigation at a named employer and a targeted abattoir compliance operation for Safe Work Month, signalling elevated psychosocial and WHS audit risk. The Minns Government has also delivered landmark Local Jobs First procurement reforms and is citing record housing completions as evidence that planning reform is working, both areas generating immediate advisory demand. A cybersecurity breach of an NSW government website, attributed to an OpenAI agent and disclosed months after the fact, raises material questions about breach notification obligations and government digital-infrastructure compliance posture.</w:t>
      </w:r>
    </w:p>
    <w:p>
      <w:pPr>
        <w:pStyle w:val="body_letter"/>
      </w:pPr>
      <w:r>
        <w:rPr>
          <w:rFonts w:ascii="Arial" w:hAnsi="Arial"/>
          <w:b/>
          <w:color w:val="000000"/>
          <w:sz w:val="19"/>
        </w:rPr>
        <w:t>Victoria</w:t>
      </w:r>
    </w:p>
    <w:p>
      <w:pPr>
        <w:pStyle w:val="body_letter"/>
      </w:pPr>
      <w:r>
        <w:rPr>
          <w:rFonts w:ascii="Arial" w:hAnsi="Arial"/>
          <w:b w:val="0"/>
          <w:color w:val="000000"/>
          <w:sz w:val="19"/>
        </w:rPr>
        <w:t>Victoria's corruption watchdog (IBAC) has had its mandate and 'follow-the-money' powers widened through fast-tracked legislation, representing a significant shift in integrity enforcement that will affect public sector clients and contractors. The Victorian Auditor-General issued adverse findings across multiple areas this period: government advertising campaigns breached political neutrality rules, fire authorities failed asset maintenance obligations, and a youth justice program lacked evidential support for its claimed outcomes. Enforcement activity intensified on multiple fronts, with Victoria's teaching watchdog executing raids on Fitzroy Community School campuses and illicit tobacco crackdowns resulting in 61 store closures. Organisations working with children face new compliance obligations under Working with Children Check reforms effective now, and the Social Services Regulator's October newsletter signals continued active oversight in that sector.</w:t>
      </w:r>
    </w:p>
    <w:p>
      <w:pPr>
        <w:pStyle w:val="body_letter"/>
      </w:pPr>
      <w:r>
        <w:rPr>
          <w:rFonts w:ascii="Arial" w:hAnsi="Arial"/>
          <w:b/>
          <w:color w:val="000000"/>
          <w:sz w:val="19"/>
        </w:rPr>
        <w:t>Queensland</w:t>
      </w:r>
    </w:p>
    <w:p>
      <w:pPr>
        <w:pStyle w:val="body_letter"/>
      </w:pPr>
      <w:r>
        <w:rPr>
          <w:rFonts w:ascii="Arial" w:hAnsi="Arial"/>
          <w:b w:val="0"/>
          <w:color w:val="000000"/>
          <w:sz w:val="19"/>
        </w:rPr>
        <w:t>Queensland's Parliament has enacted mining reforms streamlining approvals, removing duplication and refining third-party objection rights, creating immediate advisory opportunities for resources-sector clients navigating the new standing and scrutiny framework. The Queensland Government has again deferred suspension of The Star Gold Coast's casino licences as an AUSTRAC enforcement verdict looms, signalling that gaming operators face compounding state and federal regulatory risk. A major industrial relations overhaul grants the Deputy Premier strike-breaking powers, representing a material shift in labour law exposure for employers operating in Queensland. Across the compliance landscape, e-mobility device non-compliance (~50% of private devices), ECEC child safety gaps, and QLS warnings on evidential AML/CTF proof standards each point to active state-level enforcement appetite.</w:t>
      </w:r>
    </w:p>
    <w:p>
      <w:pPr>
        <w:pStyle w:val="body_letter"/>
      </w:pPr>
      <w:r>
        <w:rPr>
          <w:rFonts w:ascii="Arial" w:hAnsi="Arial"/>
          <w:b/>
          <w:color w:val="000000"/>
          <w:sz w:val="19"/>
        </w:rPr>
        <w:t>Western Australia</w:t>
      </w:r>
    </w:p>
    <w:p>
      <w:pPr>
        <w:pStyle w:val="body_letter"/>
      </w:pPr>
      <w:r>
        <w:rPr>
          <w:rFonts w:ascii="Arial" w:hAnsi="Arial"/>
          <w:b w:val="0"/>
          <w:color w:val="000000"/>
          <w:sz w:val="19"/>
        </w:rPr>
        <w:t>Western Australia is in an active legislative cycle, with payment protection laws for subcontractors now passed, Equal Opportunity Act reforms announced by Premier Cook, and local government reform legislation introduced to Parliament, all creating near-term compliance uplift needs for affected sectors. DWER's defence of expanded environmental fining powers signals a harder enforcement posture on natural resources and land use, reinforcing advisory demand in environmental compliance. The AES framework for alternative electricity services introduces a new regulatory layer in the energy market. The WA government's reimbursement action against Deloitte over a flawed university report is a notable advisory accountability signal for professional services firms operating in the public sector.</w:t>
      </w:r>
    </w:p>
    <w:p>
      <w:pPr>
        <w:pStyle w:val="body_letter"/>
      </w:pPr>
      <w:r>
        <w:rPr>
          <w:rFonts w:ascii="Arial" w:hAnsi="Arial"/>
          <w:b/>
          <w:color w:val="000000"/>
          <w:sz w:val="19"/>
        </w:rPr>
        <w:t>South Australia</w:t>
      </w:r>
    </w:p>
    <w:p>
      <w:pPr>
        <w:pStyle w:val="body_letter"/>
      </w:pPr>
      <w:r>
        <w:rPr>
          <w:rFonts w:ascii="Arial" w:hAnsi="Arial"/>
          <w:b w:val="0"/>
          <w:color w:val="000000"/>
          <w:sz w:val="19"/>
        </w:rPr>
        <w:t>SafeWork SA is running a sustained enforcement campaign across multiple sectors, with charges laid for asbestos exposure failures at demolition sites, a construction apprentice head-injury prosecution, and action against an amusement hire company, signalling active prosecutorial posture that elevates WHS compliance risk for SA businesses. In parallel, SafeWork SA is flagging new psychosocial hazard rules covering workplace stress and bullying, and new Workplace Exposure Limits are imminent, both creating near-term compliance uplift obligations for SA employers. SA has also enacted new alcohol delivery restrictions as part of a domestic violence legislative response, drawing a direct industry challenge from Retail Drinks Australia, opening advisory opportunity in licensing compliance and regulatory engagement strategy. Phosphine regulation changes have been delayed following consultation, a reminder that SA's regulatory pipeline is active across chemicals, WHS and liquor sectors simultaneously.</w:t>
      </w:r>
    </w:p>
    <w:p>
      <w:pPr>
        <w:pStyle w:val="body_letter"/>
      </w:pPr>
      <w:r>
        <w:rPr>
          <w:rFonts w:ascii="Arial" w:hAnsi="Arial"/>
          <w:b/>
          <w:color w:val="000000"/>
          <w:sz w:val="19"/>
        </w:rPr>
        <w:t>Tasmania</w:t>
      </w:r>
    </w:p>
    <w:p>
      <w:pPr>
        <w:pStyle w:val="body_letter"/>
      </w:pPr>
      <w:r>
        <w:rPr>
          <w:rFonts w:ascii="Arial" w:hAnsi="Arial"/>
          <w:b w:val="0"/>
          <w:color w:val="000000"/>
          <w:sz w:val="19"/>
        </w:rPr>
        <w:t>Tasmania's Legislative Council has launched an inquiry into the abandoned cashless gaming card amid $18.1 million in pokies losses, signalling renewed gambling regulation scrutiny and advisory opportunity. Parliament has introduced Commission of Inquiry reforms welcomed by the Implementation Monitor, while a charitable sector red tape reduction bill has passed. The state's new planning portal has drawn sharp criticism from Hobart Council as unfit for purpose, and land-clearing investigation procedures face review following farmer protests. A firearms reform bill has been shelved after significant pushback, and AI-generated hallucinated case law by the parole board has prompted attorney-general intervention, raising broader public sector AI governance questions.</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Government is moving to legislate significant gambling reforms, including a shift to cashless gaming and a reduction in poker machines, representing the territory's most substantial gaming regulatory overhaul in recent years. These changes will create material compliance obligations for venues operating electronic gaming machines and for technology providers supporting cashless payment infrastructure. Separately, an administrative error affecting camera-detected seatbelt fines raises questions about the ACT's enforcement accuracy and procedural integrity in automated infringement systems. KPMG advisory opportunities exist in gaming compliance uplift, venue transition support, and regulatory process audits for automated enforcement programs.</w:t>
      </w:r>
    </w:p>
    <w:p>
      <w:pPr>
        <w:pStyle w:val="body_letter"/>
      </w:pPr>
      <w:r>
        <w:rPr>
          <w:rFonts w:ascii="Arial" w:hAnsi="Arial"/>
          <w:b/>
          <w:color w:val="000000"/>
          <w:sz w:val="19"/>
        </w:rPr>
        <w:t>Northern Territory</w:t>
      </w:r>
    </w:p>
    <w:p>
      <w:pPr>
        <w:pStyle w:val="body_letter"/>
      </w:pPr>
      <w:r>
        <w:rPr>
          <w:rFonts w:ascii="Arial" w:hAnsi="Arial"/>
          <w:b w:val="0"/>
          <w:color w:val="000000"/>
          <w:sz w:val="19"/>
        </w:rPr>
        <w:t>The Northern Territory is advancing a significant legislative agenda across multiple sectors. Planning and building reform legislation has passed into law, reducing red tape for developers and community associations, while proposed tenancy law reforms are open for public consultation. Environmental compliance obligations are tightening, with NT now requiring major polluters to report toxic emissions and the NT environmental regulator halting assessment of a large AI data centre (Project Ares) on a cattle station citing low confidence in environmental plans. The NT is also progressing gambling reform legislation proposing deposit caps and inducement bans on bookmakers, signalling a priority shift toward consumer protection in the wagering sector. Child protection and teacher registration governance are also under active reform following systemic failure findings, presenting advisory opportunities across regulatory compliance uplift, environmental approvals, and legislative implementation.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29"/>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oaic.gov.au/news/media-centre/large-scale-data-breaches-on-the-rise,-latest-oaic-statistics-reveal" TargetMode="External"/><Relationship Id="rId11" Type="http://schemas.openxmlformats.org/officeDocument/2006/relationships/hyperlink" Target="https://www.theguardian.com/australia-news/2026/oct/26/damning-investigation-labor-algorithm-tool-aged-care-assessment" TargetMode="External"/><Relationship Id="rId12" Type="http://schemas.openxmlformats.org/officeDocument/2006/relationships/hyperlink" Target="https://www.health.gov.au/ministers/senator-the-hon-jenny-mcallister/media/stronger-safeguards-for-ndis-participants-through-provider-registration" TargetMode="External"/><Relationship Id="rId13" Type="http://schemas.openxmlformats.org/officeDocument/2006/relationships/hyperlink" Target="https://www.financialstandard.com.au/news/the-risks-keeping-apra-s-new-deputy-chair-up-at-179814372" TargetMode="External"/><Relationship Id="rId14" Type="http://schemas.openxmlformats.org/officeDocument/2006/relationships/hyperlink" Target="https://www.oaic.gov.au/news/media-centre/oaic-annual-report-shows-growing-demand-as-australians-engage-privacy-and-information-access-rights" TargetMode="External"/><Relationship Id="rId15" Type="http://schemas.openxmlformats.org/officeDocument/2006/relationships/hyperlink" Target="https://www.epa.vic.gov.au/data-centre-pollution" TargetMode="External"/><Relationship Id="rId16" Type="http://schemas.openxmlformats.org/officeDocument/2006/relationships/hyperlink" Target="https://www.thelawyermag.com/au/news/general/law-council-sides-with-parliamentary-committee-on-limiting-acic-powers/594856" TargetMode="External"/><Relationship Id="rId17" Type="http://schemas.openxmlformats.org/officeDocument/2006/relationships/hyperlink" Target="https://www.fairwork.gov.au/about-us/workplace-laws/award-changes/major-award-changes/new-working-from-home-rules-in-the-clerks-award" TargetMode="External"/><Relationship Id="rId18" Type="http://schemas.openxmlformats.org/officeDocument/2006/relationships/hyperlink" Target="https://www.consumer.vic.gov.au/latest-news/agents-licence-suspended-after-6-years-of-trust-audit-failures" TargetMode="External"/><Relationship Id="rId19" Type="http://schemas.openxmlformats.org/officeDocument/2006/relationships/hyperlink" Target="https://www.acma.gov.au/publications/2026-10/report/australian-communications-and-media-authority-and-esafety-commissioner-annual-report-2025-26" TargetMode="External"/><Relationship Id="rId20" Type="http://schemas.openxmlformats.org/officeDocument/2006/relationships/hyperlink" Target="https://www.australianmining.com.au/parliamentary-inquiry-to-put-critical-minerals-in-the-spotlight/" TargetMode="External"/><Relationship Id="rId21" Type="http://schemas.openxmlformats.org/officeDocument/2006/relationships/hyperlink" Target="https://www.aer.gov.au/news/articles/communications/aer-publishes-draft-decision-grant-ring-fencing-exemptions-agns-hydrogen-trial-projects" TargetMode="External"/><Relationship Id="rId22" Type="http://schemas.openxmlformats.org/officeDocument/2006/relationships/hyperlink" Target="https://minerals.org.au/resources/federal-court-decision-reinforces-need-for-confidence-in-cultural-heritage-protections/" TargetMode="External"/><Relationship Id="rId23" Type="http://schemas.openxmlformats.org/officeDocument/2006/relationships/hyperlink" Target="https://www.indailysa.com.au/news/just-in/2026/10/19/epa-ban-over-unsafe-adelaide-ground-water" TargetMode="External"/><Relationship Id="rId24" Type="http://schemas.openxmlformats.org/officeDocument/2006/relationships/hyperlink" Target="https://kalkine.com.au/news/technology/acusensus-asxace-wins-broader-act-road-enforcement-mandate" TargetMode="External"/><Relationship Id="rId25" Type="http://schemas.openxmlformats.org/officeDocument/2006/relationships/hyperlink" Target="https://www.ownerdriver.com.au/nhvr-clarifies-changing-enforcement-and-education-focus/" TargetMode="External"/><Relationship Id="rId26" Type="http://schemas.openxmlformats.org/officeDocument/2006/relationships/hyperlink" Target="https://www.nortonrosefulbright.com/en-au/knowledge/publications/4a8ec6bb/epbc-act-reforms" TargetMode="External"/><Relationship Id="rId27" Type="http://schemas.openxmlformats.org/officeDocument/2006/relationships/hyperlink" Target="https://thewest.com.au/business/mining/albanese-government-to-start-consultation-on-heritage-laws-overhaul-in-wake-of-mcphillamys-ruling-c-23027849" TargetMode="External"/><Relationship Id="rId28" Type="http://schemas.openxmlformats.org/officeDocument/2006/relationships/hyperlink" Target="https://www.propertycouncil.com.au/media-releases/tasmanias-new-residential-parks-framework-takes-effect" TargetMode="External"/><Relationship Id="rId2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