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drawing>
          <wp:inline xmlns:a="http://schemas.openxmlformats.org/drawingml/2006/main" xmlns:pic="http://schemas.openxmlformats.org/drawingml/2006/picture">
            <wp:extent cx="4615200" cy="2483516"/>
            <wp:docPr id="1" name="Picture 1"/>
            <wp:cNvGraphicFramePr>
              <a:graphicFrameLocks noChangeAspect="1"/>
            </wp:cNvGraphicFramePr>
            <a:graphic>
              <a:graphicData uri="http://schemas.openxmlformats.org/drawingml/2006/picture">
                <pic:pic>
                  <pic:nvPicPr>
                    <pic:cNvPr id="0" name="hero-banner.png"/>
                    <pic:cNvPicPr/>
                  </pic:nvPicPr>
                  <pic:blipFill>
                    <a:blip r:embed="rId9"/>
                    <a:stretch>
                      <a:fillRect/>
                    </a:stretch>
                  </pic:blipFill>
                  <pic:spPr>
                    <a:xfrm>
                      <a:off x="0" y="0"/>
                      <a:ext cx="4615200" cy="2483516"/>
                    </a:xfrm>
                    <a:prstGeom prst="rect"/>
                  </pic:spPr>
                </pic:pic>
              </a:graphicData>
            </a:graphic>
          </wp:inline>
        </w:drawing>
      </w:r>
    </w:p>
    <w:p>
      <w:pPr>
        <w:pStyle w:val="Heading1"/>
      </w:pPr>
      <w:r>
        <w:t>KPMG Regulatory Transformation Fortnightly Brief — 7–20 May 2026</w:t>
      </w:r>
    </w:p>
    <w:p>
      <w:pPr>
        <w:pStyle w:val="body_letter"/>
      </w:pPr>
      <w:r>
        <w:rPr>
          <w:rFonts w:ascii="Arial" w:hAnsi="Arial"/>
          <w:i/>
          <w:color w:val="666666"/>
          <w:sz w:val="19"/>
        </w:rPr>
        <w:t>Regulatory Transformation Community of Practice — Fortnightly Brief</w:t>
      </w:r>
    </w:p>
    <w:p>
      <w:pPr>
        <w:pStyle w:val="body_letter"/>
      </w:pPr>
      <w:r>
        <w:rPr>
          <w:rFonts w:ascii="Arial" w:hAnsi="Arial"/>
          <w:color w:val="666666"/>
          <w:sz w:val="19"/>
        </w:rPr>
        <w:t>20 May 2026</w:t>
      </w:r>
    </w:p>
    <w:p>
      <w:pPr>
        <w:pStyle w:val="subheading_letter"/>
      </w:pPr>
      <w:r>
        <w:rPr>
          <w:rFonts w:ascii="Arial" w:hAnsi="Arial"/>
          <w:b/>
          <w:color w:val="76D2FF"/>
          <w:sz w:val="21"/>
        </w:rPr>
        <w:t>Key messages from Adam</w:t>
      </w:r>
    </w:p>
    <w:p>
      <w:pPr>
        <w:pStyle w:val="body_letter"/>
      </w:pPr>
      <w:r>
        <w:rPr>
          <w:rFonts w:ascii="Arial" w:hAnsi="Arial"/>
          <w:b w:val="0"/>
          <w:color w:val="000000"/>
          <w:sz w:val="19"/>
        </w:rPr>
        <w:t>This fortnight regulators are squarely focused on burden reduction and integrity, with the NDIS reform package moving through the Senate alongside fresh provider crackdowns, while governance failures at the RACP and TGA prescribing updates underline the pressure on professional and therapeutic regulators to lift transparency. The pivotal opportunity for our advisory practice sits in the NDIS reform pipeline, where tighter access tests, anti-fraud measures and the 2026-27 Budget settings will force providers, scheme administrators and oversight bodies to rebuild assurance, data and decision-making operating models at pace. Convene our Health, Ageing and Human Services leads with PEPI and Forensic this fortnight to land a single NDIS integrity and reform-readiness proposition, and brief priority portfolio agencies and provider boards before the legislation clears the Senate.</w:t>
      </w:r>
    </w:p>
    <w:p>
      <w:pPr>
        <w:pStyle w:val="subheading_letter"/>
      </w:pPr>
      <w:r>
        <w:rPr>
          <w:rFonts w:ascii="Arial" w:hAnsi="Arial"/>
          <w:b/>
          <w:color w:val="76D2FF"/>
          <w:sz w:val="21"/>
        </w:rPr>
        <w:t>Regulators in the news (this fortnight)</w:t>
      </w:r>
    </w:p>
    <w:p>
      <w:pPr>
        <w:pStyle w:val="ListBullet"/>
      </w:pPr>
      <w:r>
        <w:rPr>
          <w:rFonts w:ascii="Arial" w:hAnsi="Arial"/>
          <w:b/>
          <w:color w:val="000000"/>
          <w:sz w:val="19"/>
        </w:rPr>
        <w:t>eSafety Commissioner</w:t>
      </w:r>
      <w:r>
        <w:rPr>
          <w:rFonts w:ascii="Arial" w:hAnsi="Arial"/>
          <w:color w:val="000000"/>
          <w:sz w:val="19"/>
        </w:rPr>
        <w:t xml:space="preserve"> — </w:t>
      </w:r>
      <w:r>
        <w:rPr>
          <w:rFonts w:ascii="Arial" w:hAnsi="Arial"/>
          <w:color w:val="000000"/>
          <w:sz w:val="19"/>
        </w:rPr>
        <w:t>eSafety issued enforcement action against another major 'nudify' service for failing to protect Australian children under the Online Safety Act.</w:t>
      </w:r>
      <w:r>
        <w:rPr>
          <w:rFonts w:ascii="Arial" w:hAnsi="Arial"/>
          <w:color w:val="000000"/>
          <w:sz w:val="19"/>
        </w:rPr>
        <w:t xml:space="preserve"> (</w:t>
      </w:r>
      <w:hyperlink r:id="rId10">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Prudential Regulation Authority</w:t>
      </w:r>
      <w:r>
        <w:rPr>
          <w:rFonts w:ascii="Arial" w:hAnsi="Arial"/>
          <w:color w:val="000000"/>
          <w:sz w:val="19"/>
        </w:rPr>
        <w:t xml:space="preserve"> — </w:t>
      </w:r>
      <w:r>
        <w:rPr>
          <w:rFonts w:ascii="Arial" w:hAnsi="Arial"/>
          <w:color w:val="000000"/>
          <w:sz w:val="19"/>
        </w:rPr>
        <w:t>APRA disqualified the former Xinja Bank chair for six years over undisclosed investor agreements that breached fit-and-proper obligations.</w:t>
      </w:r>
      <w:r>
        <w:rPr>
          <w:rFonts w:ascii="Arial" w:hAnsi="Arial"/>
          <w:color w:val="000000"/>
          <w:sz w:val="19"/>
        </w:rPr>
        <w:t xml:space="preserve"> (</w:t>
      </w:r>
      <w:hyperlink r:id="rId11">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Charities and Not-for-profits Commission</w:t>
      </w:r>
      <w:r>
        <w:rPr>
          <w:rFonts w:ascii="Arial" w:hAnsi="Arial"/>
          <w:color w:val="000000"/>
          <w:sz w:val="19"/>
        </w:rPr>
        <w:t xml:space="preserve"> — </w:t>
      </w:r>
      <w:r>
        <w:rPr>
          <w:rFonts w:ascii="Arial" w:hAnsi="Arial"/>
          <w:color w:val="000000"/>
          <w:sz w:val="19"/>
        </w:rPr>
        <w:t>ACNC suspended the RACP president-elect from her board role amid governance and safety concerns at the medical college.</w:t>
      </w:r>
      <w:r>
        <w:rPr>
          <w:rFonts w:ascii="Arial" w:hAnsi="Arial"/>
          <w:color w:val="000000"/>
          <w:sz w:val="19"/>
        </w:rPr>
        <w:t xml:space="preserve"> (</w:t>
      </w:r>
      <w:hyperlink r:id="rId12">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National Disability Insurance Agency</w:t>
      </w:r>
      <w:r>
        <w:rPr>
          <w:rFonts w:ascii="Arial" w:hAnsi="Arial"/>
          <w:color w:val="000000"/>
          <w:sz w:val="19"/>
        </w:rPr>
        <w:t xml:space="preserve"> — </w:t>
      </w:r>
      <w:r>
        <w:rPr>
          <w:rFonts w:ascii="Arial" w:hAnsi="Arial"/>
          <w:color w:val="000000"/>
          <w:sz w:val="19"/>
        </w:rPr>
        <w:t>The NDIA's own analysis indicates proposed NDIS scheme reforms will disproportionately reduce supports for participants with Down syndrome and other lifelong conditions.</w:t>
      </w:r>
      <w:r>
        <w:rPr>
          <w:rFonts w:ascii="Arial" w:hAnsi="Arial"/>
          <w:color w:val="000000"/>
          <w:sz w:val="19"/>
        </w:rPr>
        <w:t xml:space="preserve"> (</w:t>
      </w:r>
      <w:hyperlink r:id="rId13">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Federal Police</w:t>
      </w:r>
      <w:r>
        <w:rPr>
          <w:rFonts w:ascii="Arial" w:hAnsi="Arial"/>
          <w:color w:val="000000"/>
          <w:sz w:val="19"/>
        </w:rPr>
        <w:t xml:space="preserve"> — </w:t>
      </w:r>
      <w:r>
        <w:rPr>
          <w:rFonts w:ascii="Arial" w:hAnsi="Arial"/>
          <w:color w:val="000000"/>
          <w:sz w:val="19"/>
        </w:rPr>
        <w:t>The AFP co-opened a Pacific-focused law enforcement summit with Fiji Police to coordinate disruption of transnational crime syndicates targeting the region.</w:t>
      </w:r>
      <w:r>
        <w:rPr>
          <w:rFonts w:ascii="Arial" w:hAnsi="Arial"/>
          <w:color w:val="000000"/>
          <w:sz w:val="19"/>
        </w:rPr>
        <w:t xml:space="preserve"> (</w:t>
      </w:r>
      <w:hyperlink r:id="rId14">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Department of Education</w:t>
      </w:r>
      <w:r>
        <w:rPr>
          <w:rFonts w:ascii="Arial" w:hAnsi="Arial"/>
          <w:color w:val="000000"/>
          <w:sz w:val="19"/>
        </w:rPr>
        <w:t xml:space="preserve"> — </w:t>
      </w:r>
      <w:r>
        <w:rPr>
          <w:rFonts w:ascii="Arial" w:hAnsi="Arial"/>
          <w:color w:val="000000"/>
          <w:sz w:val="19"/>
        </w:rPr>
        <w:t>The Department of Education suspended new private college course and provider registrations for international students for 12 months pending integrity reforms.</w:t>
      </w:r>
      <w:r>
        <w:rPr>
          <w:rFonts w:ascii="Arial" w:hAnsi="Arial"/>
          <w:color w:val="000000"/>
          <w:sz w:val="19"/>
        </w:rPr>
        <w:t xml:space="preserve"> (</w:t>
      </w:r>
      <w:hyperlink r:id="rId15">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Securities and Investments Commission</w:t>
      </w:r>
      <w:r>
        <w:rPr>
          <w:rFonts w:ascii="Arial" w:hAnsi="Arial"/>
          <w:color w:val="000000"/>
          <w:sz w:val="19"/>
        </w:rPr>
        <w:t xml:space="preserve"> — </w:t>
      </w:r>
      <w:r>
        <w:rPr>
          <w:rFonts w:ascii="Arial" w:hAnsi="Arial"/>
          <w:color w:val="000000"/>
          <w:sz w:val="19"/>
        </w:rPr>
        <w:t>ASIC published REP 830 setting out its regulatory simplification program targeting digital guidance, instrument consolidation and reduced compliance clutter.</w:t>
      </w:r>
      <w:r>
        <w:rPr>
          <w:rFonts w:ascii="Arial" w:hAnsi="Arial"/>
          <w:color w:val="000000"/>
          <w:sz w:val="19"/>
        </w:rPr>
        <w:t xml:space="preserve"> (</w:t>
      </w:r>
      <w:hyperlink r:id="rId16">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eSafety Commissioner</w:t>
      </w:r>
      <w:r>
        <w:rPr>
          <w:rFonts w:ascii="Arial" w:hAnsi="Arial"/>
          <w:color w:val="000000"/>
          <w:sz w:val="19"/>
        </w:rPr>
        <w:t xml:space="preserve"> — </w:t>
      </w:r>
      <w:r>
        <w:rPr>
          <w:rFonts w:ascii="Arial" w:hAnsi="Arial"/>
          <w:color w:val="000000"/>
          <w:sz w:val="19"/>
        </w:rPr>
        <w:t>eSafety convened national sporting code leaders to coordinate action on cyberbullying and online hate directed at athletes, officials and children in sport.</w:t>
      </w:r>
      <w:r>
        <w:rPr>
          <w:rFonts w:ascii="Arial" w:hAnsi="Arial"/>
          <w:color w:val="000000"/>
          <w:sz w:val="19"/>
        </w:rPr>
        <w:t xml:space="preserve"> (</w:t>
      </w:r>
      <w:hyperlink r:id="rId17">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Office of the Australian Information Commissioner</w:t>
      </w:r>
      <w:r>
        <w:rPr>
          <w:rFonts w:ascii="Arial" w:hAnsi="Arial"/>
          <w:color w:val="000000"/>
          <w:sz w:val="19"/>
        </w:rPr>
        <w:t xml:space="preserve"> — </w:t>
      </w:r>
      <w:r>
        <w:rPr>
          <w:rFonts w:ascii="Arial" w:hAnsi="Arial"/>
          <w:color w:val="000000"/>
          <w:sz w:val="19"/>
        </w:rPr>
        <w:t>The OAIC issued updated Australian Privacy Principles guidance signalling tighter expectations on personal information collection practices.</w:t>
      </w:r>
      <w:r>
        <w:rPr>
          <w:rFonts w:ascii="Arial" w:hAnsi="Arial"/>
          <w:color w:val="000000"/>
          <w:sz w:val="19"/>
        </w:rPr>
        <w:t xml:space="preserve"> (</w:t>
      </w:r>
      <w:hyperlink r:id="rId18">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Securities and Investments Commission</w:t>
      </w:r>
      <w:r>
        <w:rPr>
          <w:rFonts w:ascii="Arial" w:hAnsi="Arial"/>
          <w:color w:val="000000"/>
          <w:sz w:val="19"/>
        </w:rPr>
        <w:t xml:space="preserve"> — </w:t>
      </w:r>
      <w:r>
        <w:rPr>
          <w:rFonts w:ascii="Arial" w:hAnsi="Arial"/>
          <w:color w:val="000000"/>
          <w:sz w:val="19"/>
        </w:rPr>
        <w:t>ASIC escalated its surveillance of registered company auditors' annual statements, flagging further enforcement where lodgement and quality obligations are not met.</w:t>
      </w:r>
      <w:r>
        <w:rPr>
          <w:rFonts w:ascii="Arial" w:hAnsi="Arial"/>
          <w:color w:val="000000"/>
          <w:sz w:val="19"/>
        </w:rPr>
        <w:t xml:space="preserve"> (</w:t>
      </w:r>
      <w:hyperlink r:id="rId19">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Victorian Auditor-General's Office</w:t>
      </w:r>
      <w:r>
        <w:rPr>
          <w:rFonts w:ascii="Arial" w:hAnsi="Arial"/>
          <w:color w:val="000000"/>
          <w:sz w:val="19"/>
        </w:rPr>
        <w:t xml:space="preserve"> — </w:t>
      </w:r>
      <w:r>
        <w:rPr>
          <w:rFonts w:ascii="Arial" w:hAnsi="Arial"/>
          <w:color w:val="000000"/>
          <w:sz w:val="19"/>
        </w:rPr>
        <w:t>VAGO opened a performance audit into Victoria's 40-year lottery licensing deal, scrutinising probity and value-for-money in the long-dated arrangement.</w:t>
      </w:r>
      <w:r>
        <w:rPr>
          <w:rFonts w:ascii="Arial" w:hAnsi="Arial"/>
          <w:color w:val="000000"/>
          <w:sz w:val="19"/>
        </w:rPr>
        <w:t xml:space="preserve"> (</w:t>
      </w:r>
      <w:hyperlink r:id="rId20">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Communications and Media Authority</w:t>
      </w:r>
      <w:r>
        <w:rPr>
          <w:rFonts w:ascii="Arial" w:hAnsi="Arial"/>
          <w:color w:val="000000"/>
          <w:sz w:val="19"/>
        </w:rPr>
        <w:t xml:space="preserve"> — </w:t>
      </w:r>
      <w:r>
        <w:rPr>
          <w:rFonts w:ascii="Arial" w:hAnsi="Arial"/>
          <w:color w:val="000000"/>
          <w:sz w:val="19"/>
        </w:rPr>
        <w:t>ACMA released new consumer and advocate resources reinforcing telco obligations on complaints handling, financial hardship and customer protections.</w:t>
      </w:r>
      <w:r>
        <w:rPr>
          <w:rFonts w:ascii="Arial" w:hAnsi="Arial"/>
          <w:color w:val="000000"/>
          <w:sz w:val="19"/>
        </w:rPr>
        <w:t xml:space="preserve"> (</w:t>
      </w:r>
      <w:hyperlink r:id="rId21">
        <w:r>
          <w:rPr>
            <w:rFonts w:ascii="Arial" w:hAnsi="Arial" w:cs="Arial"/>
            <w:color w:val="0000FF"/>
            <w:sz w:val="19"/>
            <w:szCs w:val="19"/>
            <w:u w:val="single"/>
          </w:rPr>
          <w:t xml:space="preserve">Read more</w:t>
        </w:r>
      </w:hyperlink>
      <w:r>
        <w:rPr>
          <w:rFonts w:ascii="Arial" w:hAnsi="Arial"/>
          <w:color w:val="000000"/>
          <w:sz w:val="19"/>
        </w:rPr>
        <w:t>)</w:t>
      </w:r>
    </w:p>
    <w:p>
      <w:pPr>
        <w:pStyle w:val="subheading_letter"/>
      </w:pPr>
      <w:r>
        <w:rPr>
          <w:rFonts w:ascii="Arial" w:hAnsi="Arial"/>
          <w:b/>
          <w:color w:val="76D2FF"/>
          <w:sz w:val="21"/>
        </w:rPr>
        <w:t>Our clients in the news</w:t>
      </w:r>
    </w:p>
    <w:p>
      <w:pPr>
        <w:pStyle w:val="body_letter"/>
      </w:pPr>
      <w:r>
        <w:rPr>
          <w:rFonts w:ascii="Arial" w:hAnsi="Arial"/>
          <w:b/>
          <w:color w:val="000000"/>
          <w:sz w:val="19"/>
        </w:rPr>
        <w:t>Victoria</w:t>
      </w:r>
    </w:p>
    <w:p>
      <w:pPr>
        <w:pStyle w:val="ListBullet"/>
      </w:pPr>
      <w:r>
        <w:rPr>
          <w:rFonts w:ascii="Arial" w:hAnsi="Arial"/>
          <w:b/>
          <w:color w:val="000000"/>
          <w:sz w:val="19"/>
        </w:rPr>
        <w:t>Victorian Auditor-General's Office</w:t>
      </w:r>
      <w:r>
        <w:rPr>
          <w:rFonts w:ascii="Arial" w:hAnsi="Arial"/>
          <w:color w:val="000000"/>
          <w:sz w:val="19"/>
        </w:rPr>
        <w:t xml:space="preserve"> — </w:t>
      </w:r>
      <w:r>
        <w:rPr>
          <w:rFonts w:ascii="Arial" w:hAnsi="Arial"/>
          <w:color w:val="000000"/>
          <w:sz w:val="19"/>
        </w:rPr>
        <w:t>VAGO probes 40-year lottery licence deal</w:t>
      </w:r>
      <w:r>
        <w:rPr>
          <w:rFonts w:ascii="Arial" w:hAnsi="Arial"/>
          <w:color w:val="000000"/>
          <w:sz w:val="19"/>
        </w:rPr>
        <w:t xml:space="preserve"> (</w:t>
      </w:r>
      <w:hyperlink r:id="rId22">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Environment Protection Authority Victoria</w:t>
      </w:r>
      <w:r>
        <w:rPr>
          <w:rFonts w:ascii="Arial" w:hAnsi="Arial"/>
          <w:color w:val="000000"/>
          <w:sz w:val="19"/>
        </w:rPr>
        <w:t xml:space="preserve"> — </w:t>
      </w:r>
      <w:r>
        <w:rPr>
          <w:rFonts w:ascii="Arial" w:hAnsi="Arial"/>
          <w:color w:val="000000"/>
          <w:sz w:val="19"/>
        </w:rPr>
        <w:t>Supreme Court upholds EPA landfill levy</w:t>
      </w:r>
      <w:r>
        <w:rPr>
          <w:rFonts w:ascii="Arial" w:hAnsi="Arial"/>
          <w:color w:val="000000"/>
          <w:sz w:val="19"/>
        </w:rPr>
        <w:t xml:space="preserve"> (</w:t>
      </w:r>
      <w:hyperlink r:id="rId23">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Transport Accident Commission</w:t>
      </w:r>
      <w:r>
        <w:rPr>
          <w:rFonts w:ascii="Arial" w:hAnsi="Arial"/>
          <w:color w:val="000000"/>
          <w:sz w:val="19"/>
        </w:rPr>
        <w:t xml:space="preserve"> — </w:t>
      </w:r>
      <w:r>
        <w:rPr>
          <w:rFonts w:ascii="Arial" w:hAnsi="Arial"/>
          <w:color w:val="000000"/>
          <w:sz w:val="19"/>
        </w:rPr>
        <w:t>TAC boosts camera tech for road safety</w:t>
      </w:r>
      <w:r>
        <w:rPr>
          <w:rFonts w:ascii="Arial" w:hAnsi="Arial"/>
          <w:color w:val="000000"/>
          <w:sz w:val="19"/>
        </w:rPr>
        <w:t xml:space="preserve"> (</w:t>
      </w:r>
      <w:hyperlink r:id="rId24">
        <w:r>
          <w:rPr>
            <w:rFonts w:ascii="Arial" w:hAnsi="Arial" w:cs="Arial"/>
            <w:color w:val="0000FF"/>
            <w:sz w:val="19"/>
            <w:szCs w:val="19"/>
            <w:u w:val="single"/>
          </w:rPr>
          <w:t xml:space="preserve">Read more</w:t>
        </w:r>
      </w:hyperlink>
      <w:r>
        <w:rPr>
          <w:rFonts w:ascii="Arial" w:hAnsi="Arial"/>
          <w:color w:val="000000"/>
          <w:sz w:val="19"/>
        </w:rPr>
        <w:t>)</w:t>
      </w:r>
    </w:p>
    <w:p>
      <w:pPr>
        <w:pStyle w:val="body_letter"/>
      </w:pPr>
      <w:r>
        <w:rPr>
          <w:rFonts w:ascii="Arial" w:hAnsi="Arial"/>
          <w:b/>
          <w:color w:val="000000"/>
          <w:sz w:val="19"/>
        </w:rPr>
        <w:t>Commonwealth</w:t>
      </w:r>
    </w:p>
    <w:p>
      <w:pPr>
        <w:pStyle w:val="ListBullet"/>
      </w:pPr>
      <w:r>
        <w:rPr>
          <w:rFonts w:ascii="Arial" w:hAnsi="Arial"/>
          <w:b/>
          <w:color w:val="000000"/>
          <w:sz w:val="19"/>
        </w:rPr>
        <w:t>National Disability Insurance Agency</w:t>
      </w:r>
      <w:r>
        <w:rPr>
          <w:rFonts w:ascii="Arial" w:hAnsi="Arial"/>
          <w:color w:val="000000"/>
          <w:sz w:val="19"/>
        </w:rPr>
        <w:t xml:space="preserve"> — </w:t>
      </w:r>
      <w:r>
        <w:rPr>
          <w:rFonts w:ascii="Arial" w:hAnsi="Arial"/>
          <w:color w:val="000000"/>
          <w:sz w:val="19"/>
        </w:rPr>
        <w:t>NDIS access tightened under proposed rules</w:t>
      </w:r>
      <w:r>
        <w:rPr>
          <w:rFonts w:ascii="Arial" w:hAnsi="Arial"/>
          <w:color w:val="000000"/>
          <w:sz w:val="19"/>
        </w:rPr>
        <w:t xml:space="preserve"> (</w:t>
      </w:r>
      <w:hyperlink r:id="rId25">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Charities and Not-for-profits Commission</w:t>
      </w:r>
      <w:r>
        <w:rPr>
          <w:rFonts w:ascii="Arial" w:hAnsi="Arial"/>
          <w:color w:val="000000"/>
          <w:sz w:val="19"/>
        </w:rPr>
        <w:t xml:space="preserve"> — </w:t>
      </w:r>
      <w:r>
        <w:rPr>
          <w:rFonts w:ascii="Arial" w:hAnsi="Arial"/>
          <w:color w:val="000000"/>
          <w:sz w:val="19"/>
        </w:rPr>
        <w:t>ACNC suspends RACP president-elect</w:t>
      </w:r>
      <w:r>
        <w:rPr>
          <w:rFonts w:ascii="Arial" w:hAnsi="Arial"/>
          <w:color w:val="000000"/>
          <w:sz w:val="19"/>
        </w:rPr>
        <w:t xml:space="preserve"> (</w:t>
      </w:r>
      <w:hyperlink r:id="rId26">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Department of Health, Disability and Ageing</w:t>
      </w:r>
      <w:r>
        <w:rPr>
          <w:rFonts w:ascii="Arial" w:hAnsi="Arial"/>
          <w:color w:val="000000"/>
          <w:sz w:val="19"/>
        </w:rPr>
        <w:t xml:space="preserve"> — </w:t>
      </w:r>
      <w:r>
        <w:rPr>
          <w:rFonts w:ascii="Arial" w:hAnsi="Arial"/>
          <w:color w:val="000000"/>
          <w:sz w:val="19"/>
        </w:rPr>
        <w:t>Federal Budget 2026-27 health snapshot</w:t>
      </w:r>
      <w:r>
        <w:rPr>
          <w:rFonts w:ascii="Arial" w:hAnsi="Arial"/>
          <w:color w:val="000000"/>
          <w:sz w:val="19"/>
        </w:rPr>
        <w:t xml:space="preserve"> (</w:t>
      </w:r>
      <w:hyperlink r:id="rId27">
        <w:r>
          <w:rPr>
            <w:rFonts w:ascii="Arial" w:hAnsi="Arial" w:cs="Arial"/>
            <w:color w:val="0000FF"/>
            <w:sz w:val="19"/>
            <w:szCs w:val="19"/>
            <w:u w:val="single"/>
          </w:rPr>
          <w:t xml:space="preserve">Read more</w:t>
        </w:r>
      </w:hyperlink>
      <w:r>
        <w:rPr>
          <w:rFonts w:ascii="Arial" w:hAnsi="Arial"/>
          <w:color w:val="000000"/>
          <w:sz w:val="19"/>
        </w:rPr>
        <w:t>)</w:t>
      </w:r>
    </w:p>
    <w:p>
      <w:pPr>
        <w:pStyle w:val="body_letter"/>
      </w:pPr>
      <w:r>
        <w:rPr>
          <w:rFonts w:ascii="Arial" w:hAnsi="Arial"/>
          <w:b/>
          <w:color w:val="000000"/>
          <w:sz w:val="19"/>
        </w:rPr>
        <w:t>New South Wales</w:t>
      </w:r>
    </w:p>
    <w:p>
      <w:pPr>
        <w:pStyle w:val="ListBullet"/>
      </w:pPr>
      <w:r>
        <w:rPr>
          <w:rFonts w:ascii="Arial" w:hAnsi="Arial"/>
          <w:b/>
          <w:color w:val="000000"/>
          <w:sz w:val="19"/>
        </w:rPr>
        <w:t>Environment Protection Authority</w:t>
      </w:r>
      <w:r>
        <w:rPr>
          <w:rFonts w:ascii="Arial" w:hAnsi="Arial"/>
          <w:color w:val="000000"/>
          <w:sz w:val="19"/>
        </w:rPr>
        <w:t xml:space="preserve"> — </w:t>
      </w:r>
      <w:r>
        <w:rPr>
          <w:rFonts w:ascii="Arial" w:hAnsi="Arial"/>
          <w:color w:val="000000"/>
          <w:sz w:val="19"/>
        </w:rPr>
        <w:t>NSW EPA $1.2M illegal dumping fund</w:t>
      </w:r>
      <w:r>
        <w:rPr>
          <w:rFonts w:ascii="Arial" w:hAnsi="Arial"/>
          <w:color w:val="000000"/>
          <w:sz w:val="19"/>
        </w:rPr>
        <w:t xml:space="preserve"> (</w:t>
      </w:r>
      <w:hyperlink r:id="rId28">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Independent Commission Against Corruption</w:t>
      </w:r>
      <w:r>
        <w:rPr>
          <w:rFonts w:ascii="Arial" w:hAnsi="Arial"/>
          <w:color w:val="000000"/>
          <w:sz w:val="19"/>
        </w:rPr>
        <w:t xml:space="preserve"> — </w:t>
      </w:r>
      <w:r>
        <w:rPr>
          <w:rFonts w:ascii="Arial" w:hAnsi="Arial"/>
          <w:color w:val="000000"/>
          <w:sz w:val="19"/>
        </w:rPr>
        <w:t>ICAC opens 'Pink Ops' public hearings</w:t>
      </w:r>
      <w:r>
        <w:rPr>
          <w:rFonts w:ascii="Arial" w:hAnsi="Arial"/>
          <w:color w:val="000000"/>
          <w:sz w:val="19"/>
        </w:rPr>
        <w:t xml:space="preserve"> (</w:t>
      </w:r>
      <w:hyperlink r:id="rId22">
        <w:r>
          <w:rPr>
            <w:rFonts w:ascii="Arial" w:hAnsi="Arial" w:cs="Arial"/>
            <w:color w:val="0000FF"/>
            <w:sz w:val="19"/>
            <w:szCs w:val="19"/>
            <w:u w:val="single"/>
          </w:rPr>
          <w:t xml:space="preserve">Read more</w:t>
        </w:r>
      </w:hyperlink>
      <w:r>
        <w:rPr>
          <w:rFonts w:ascii="Arial" w:hAnsi="Arial"/>
          <w:color w:val="000000"/>
          <w:sz w:val="19"/>
        </w:rPr>
        <w:t>)</w:t>
      </w:r>
    </w:p>
    <w:p>
      <w:pPr>
        <w:pStyle w:val="subheading_letter"/>
      </w:pPr>
      <w:r>
        <w:rPr>
          <w:rFonts w:ascii="Arial" w:hAnsi="Arial"/>
          <w:b/>
          <w:color w:val="76D2FF"/>
          <w:sz w:val="21"/>
        </w:rPr>
        <w:t>Regulatory Transformation: navigating emerging risks, driving AI adoption and reducing regulatory burden</w:t>
      </w:r>
    </w:p>
    <w:p>
      <w:pPr>
        <w:pStyle w:val="body_letter"/>
      </w:pPr>
      <w:r>
        <w:rPr>
          <w:rFonts w:ascii="Arial" w:hAnsi="Arial"/>
          <w:b w:val="0"/>
          <w:color w:val="000000"/>
          <w:sz w:val="19"/>
        </w:rPr>
        <w:t>Regulators are facing a shifting operating environment as technology, markets, environmental pressures and societal expectations evolve faster than traditional regulatory frameworks. Fragmented data and limited intelligence continue to make risk prioritisation difficult.</w:t>
      </w:r>
    </w:p>
    <w:p>
      <w:pPr>
        <w:pStyle w:val="body_letter"/>
      </w:pPr>
      <w:r>
        <w:rPr>
          <w:rFonts w:ascii="Arial" w:hAnsi="Arial"/>
          <w:b w:val="0"/>
          <w:color w:val="000000"/>
          <w:sz w:val="19"/>
        </w:rPr>
        <w:t>There is a growing opportunity to use advanced analytics to better target regulatory effort. Many regulators are still working to integrate data across systems, uplift analytical capability and embed insights into everyday decision-making.</w:t>
      </w:r>
    </w:p>
    <w:p>
      <w:pPr>
        <w:pStyle w:val="body_letter"/>
      </w:pPr>
      <w:r>
        <w:rPr>
          <w:rFonts w:ascii="Arial" w:hAnsi="Arial"/>
          <w:b w:val="0"/>
          <w:color w:val="000000"/>
          <w:sz w:val="19"/>
        </w:rPr>
        <w:t>AI adoption is also becoming a core regulatory transformation issue. Regulators are seeking to balance opportunities for automation and improved risk identification with the need to manage governance, transparency, bias, legal risk, privacy and public confidence.</w:t>
      </w:r>
    </w:p>
    <w:p>
      <w:pPr>
        <w:pStyle w:val="body_letter"/>
      </w:pPr>
      <w:r>
        <w:rPr>
          <w:rFonts w:ascii="Arial" w:hAnsi="Arial"/>
          <w:b w:val="0"/>
          <w:color w:val="000000"/>
          <w:sz w:val="19"/>
        </w:rPr>
        <w:t>At the same time, governments are under pressure to reduce red tape, make faster decisions and manage fiscal constraints. This is driving interest in regulatory consolidation, shared-service models and more consistent approaches to regulatory delivery, while maintaining fairness and strong outcomes.</w:t>
      </w:r>
    </w:p>
    <w:p>
      <w:pPr>
        <w:pStyle w:val="body_letter"/>
      </w:pPr>
      <w:r>
        <w:rPr>
          <w:rFonts w:ascii="Arial" w:hAnsi="Arial"/>
          <w:b/>
          <w:color w:val="000000"/>
          <w:sz w:val="19"/>
        </w:rPr>
        <w:t>Emerging risks</w:t>
      </w:r>
    </w:p>
    <w:p>
      <w:pPr>
        <w:pStyle w:val="ListBullet"/>
      </w:pPr>
      <w:r>
        <w:rPr>
          <w:rFonts w:ascii="Arial" w:hAnsi="Arial"/>
          <w:b/>
          <w:color w:val="000000"/>
          <w:sz w:val="19"/>
        </w:rPr>
        <w:t>AUSTRAC updates national financial crime risk snapshot</w:t>
      </w:r>
      <w:r>
        <w:rPr>
          <w:rFonts w:ascii="Arial" w:hAnsi="Arial"/>
          <w:color w:val="000000"/>
          <w:sz w:val="19"/>
        </w:rPr>
        <w:t xml:space="preserve"> — </w:t>
      </w:r>
      <w:r>
        <w:rPr>
          <w:rFonts w:ascii="Arial" w:hAnsi="Arial"/>
          <w:color w:val="000000"/>
          <w:sz w:val="19"/>
        </w:rPr>
        <w:t>AUSTRAC has released a refreshed risk snapshot of Australia's financial crime landscape, sharpening intelligence on money laundering, fraud and emerging typologies for reporting entities.</w:t>
      </w:r>
      <w:r>
        <w:rPr>
          <w:rFonts w:ascii="Arial" w:hAnsi="Arial"/>
          <w:color w:val="000000"/>
          <w:sz w:val="19"/>
        </w:rPr>
        <w:t xml:space="preserve"> (</w:t>
      </w:r>
      <w:hyperlink r:id="rId29">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AUSTRAC opens enforcement investigation into Tabcorp AML/CTF compliance</w:t>
      </w:r>
      <w:r>
        <w:rPr>
          <w:rFonts w:ascii="Arial" w:hAnsi="Arial"/>
          <w:color w:val="000000"/>
          <w:sz w:val="19"/>
        </w:rPr>
        <w:t xml:space="preserve"> — </w:t>
      </w:r>
      <w:r>
        <w:rPr>
          <w:rFonts w:ascii="Arial" w:hAnsi="Arial"/>
          <w:color w:val="000000"/>
          <w:sz w:val="19"/>
        </w:rPr>
        <w:t>AUSTRAC has commenced a formal enforcement investigation into Tabcorp over suspected AML/CTF compliance failures, signalling continued pressure on gambling-sector reporting entities.</w:t>
      </w:r>
      <w:r>
        <w:rPr>
          <w:rFonts w:ascii="Arial" w:hAnsi="Arial"/>
          <w:color w:val="000000"/>
          <w:sz w:val="19"/>
        </w:rPr>
        <w:t xml:space="preserve"> (</w:t>
      </w:r>
      <w:hyperlink r:id="rId30">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ASIC crackdown on finfluencers escalates</w:t>
      </w:r>
      <w:r>
        <w:rPr>
          <w:rFonts w:ascii="Arial" w:hAnsi="Arial"/>
          <w:color w:val="000000"/>
          <w:sz w:val="19"/>
        </w:rPr>
        <w:t xml:space="preserve"> — </w:t>
      </w:r>
      <w:r>
        <w:rPr>
          <w:rFonts w:ascii="Arial" w:hAnsi="Arial"/>
          <w:color w:val="000000"/>
          <w:sz w:val="19"/>
        </w:rPr>
        <w:t>ASIC has warned unlicensed financial influencers of intensified enforcement action, targeting misleading online advice as a growing consumer protection risk.</w:t>
      </w:r>
      <w:r>
        <w:rPr>
          <w:rFonts w:ascii="Arial" w:hAnsi="Arial"/>
          <w:color w:val="000000"/>
          <w:sz w:val="19"/>
        </w:rPr>
        <w:t xml:space="preserve"> (</w:t>
      </w:r>
      <w:hyperlink r:id="rId31">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New federal counter-terrorism coordinator role created</w:t>
      </w:r>
      <w:r>
        <w:rPr>
          <w:rFonts w:ascii="Arial" w:hAnsi="Arial"/>
          <w:color w:val="000000"/>
          <w:sz w:val="19"/>
        </w:rPr>
        <w:t xml:space="preserve"> — </w:t>
      </w:r>
      <w:r>
        <w:rPr>
          <w:rFonts w:ascii="Arial" w:hAnsi="Arial"/>
          <w:color w:val="000000"/>
          <w:sz w:val="19"/>
        </w:rPr>
        <w:t>The Commonwealth has established a new national counter-terrorism coordinator position to strengthen cross-agency intelligence sharing amid a rising threat environment.</w:t>
      </w:r>
      <w:r>
        <w:rPr>
          <w:rFonts w:ascii="Arial" w:hAnsi="Arial"/>
          <w:color w:val="000000"/>
          <w:sz w:val="19"/>
        </w:rPr>
        <w:t xml:space="preserve"> (</w:t>
      </w:r>
      <w:hyperlink r:id="rId32">
        <w:r>
          <w:rPr>
            <w:rFonts w:ascii="Arial" w:hAnsi="Arial" w:cs="Arial"/>
            <w:color w:val="0000FF"/>
            <w:sz w:val="19"/>
            <w:szCs w:val="19"/>
            <w:u w:val="single"/>
          </w:rPr>
          <w:t xml:space="preserve">Read more</w:t>
        </w:r>
      </w:hyperlink>
      <w:r>
        <w:rPr>
          <w:rFonts w:ascii="Arial" w:hAnsi="Arial"/>
          <w:color w:val="000000"/>
          <w:sz w:val="19"/>
        </w:rPr>
        <w:t>)</w:t>
      </w:r>
    </w:p>
    <w:p>
      <w:pPr>
        <w:pStyle w:val="body_letter"/>
      </w:pPr>
      <w:r>
        <w:rPr>
          <w:rFonts w:ascii="Arial" w:hAnsi="Arial"/>
          <w:b/>
          <w:color w:val="000000"/>
          <w:sz w:val="19"/>
        </w:rPr>
        <w:t>AI adoption</w:t>
      </w:r>
    </w:p>
    <w:p>
      <w:pPr>
        <w:pStyle w:val="ListBullet"/>
      </w:pPr>
      <w:r>
        <w:rPr>
          <w:rFonts w:ascii="Arial" w:hAnsi="Arial"/>
          <w:b/>
          <w:color w:val="000000"/>
          <w:sz w:val="19"/>
        </w:rPr>
        <w:t>ASIC and APRA write to industry on emerging AI risks</w:t>
      </w:r>
      <w:r>
        <w:rPr>
          <w:rFonts w:ascii="Arial" w:hAnsi="Arial"/>
          <w:color w:val="000000"/>
          <w:sz w:val="19"/>
        </w:rPr>
        <w:t xml:space="preserve"> — </w:t>
      </w:r>
      <w:r>
        <w:rPr>
          <w:rFonts w:ascii="Arial" w:hAnsi="Arial"/>
          <w:color w:val="000000"/>
          <w:sz w:val="19"/>
        </w:rPr>
        <w:t>ASIC and APRA have jointly written to regulated entities setting clear expectations on AI governance, model risk management and board-level accountability for AI deployment.</w:t>
      </w:r>
      <w:r>
        <w:rPr>
          <w:rFonts w:ascii="Arial" w:hAnsi="Arial"/>
          <w:color w:val="000000"/>
          <w:sz w:val="19"/>
        </w:rPr>
        <w:t xml:space="preserve"> (</w:t>
      </w:r>
      <w:hyperlink r:id="rId33">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OAIC consults on transparency guidance for automated decision-making</w:t>
      </w:r>
      <w:r>
        <w:rPr>
          <w:rFonts w:ascii="Arial" w:hAnsi="Arial"/>
          <w:color w:val="000000"/>
          <w:sz w:val="19"/>
        </w:rPr>
        <w:t xml:space="preserve"> — </w:t>
      </w:r>
      <w:r>
        <w:rPr>
          <w:rFonts w:ascii="Arial" w:hAnsi="Arial"/>
          <w:color w:val="000000"/>
          <w:sz w:val="19"/>
        </w:rPr>
        <w:t>The OAIC has opened consultation on new guidance requiring entities to be transparent with individuals about automated decision-making affecting them under Privacy Act reforms.</w:t>
      </w:r>
      <w:r>
        <w:rPr>
          <w:rFonts w:ascii="Arial" w:hAnsi="Arial"/>
          <w:color w:val="000000"/>
          <w:sz w:val="19"/>
        </w:rPr>
        <w:t xml:space="preserve"> (</w:t>
      </w:r>
      <w:hyperlink r:id="rId34">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Government sustains key tech programs with new budget billions</w:t>
      </w:r>
      <w:r>
        <w:rPr>
          <w:rFonts w:ascii="Arial" w:hAnsi="Arial"/>
          <w:color w:val="000000"/>
          <w:sz w:val="19"/>
        </w:rPr>
        <w:t xml:space="preserve"> — </w:t>
      </w:r>
      <w:r>
        <w:rPr>
          <w:rFonts w:ascii="Arial" w:hAnsi="Arial"/>
          <w:color w:val="000000"/>
          <w:sz w:val="19"/>
        </w:rPr>
        <w:t>The Commonwealth has committed multi-billion-dollar funding in the 2026-27 Budget to sustain digital, cyber and AI-enabled programs across core agencies.</w:t>
      </w:r>
      <w:r>
        <w:rPr>
          <w:rFonts w:ascii="Arial" w:hAnsi="Arial"/>
          <w:color w:val="000000"/>
          <w:sz w:val="19"/>
        </w:rPr>
        <w:t xml:space="preserve"> (</w:t>
      </w:r>
      <w:hyperlink r:id="rId35">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WGEA publishes AI transparency statement</w:t>
      </w:r>
      <w:r>
        <w:rPr>
          <w:rFonts w:ascii="Arial" w:hAnsi="Arial"/>
          <w:color w:val="000000"/>
          <w:sz w:val="19"/>
        </w:rPr>
        <w:t xml:space="preserve"> — </w:t>
      </w:r>
      <w:r>
        <w:rPr>
          <w:rFonts w:ascii="Arial" w:hAnsi="Arial"/>
          <w:color w:val="000000"/>
          <w:sz w:val="19"/>
        </w:rPr>
        <w:t>WGEA has issued an AI transparency statement disclosing its use of AI systems, modelling expected practice for federal agencies adopting AI tools.</w:t>
      </w:r>
      <w:r>
        <w:rPr>
          <w:rFonts w:ascii="Arial" w:hAnsi="Arial"/>
          <w:color w:val="000000"/>
          <w:sz w:val="19"/>
        </w:rPr>
        <w:t xml:space="preserve"> (</w:t>
      </w:r>
      <w:hyperlink r:id="rId36">
        <w:r>
          <w:rPr>
            <w:rFonts w:ascii="Arial" w:hAnsi="Arial" w:cs="Arial"/>
            <w:color w:val="0000FF"/>
            <w:sz w:val="19"/>
            <w:szCs w:val="19"/>
            <w:u w:val="single"/>
          </w:rPr>
          <w:t xml:space="preserve">Read more</w:t>
        </w:r>
      </w:hyperlink>
      <w:r>
        <w:rPr>
          <w:rFonts w:ascii="Arial" w:hAnsi="Arial"/>
          <w:color w:val="000000"/>
          <w:sz w:val="19"/>
        </w:rPr>
        <w:t>)</w:t>
      </w:r>
    </w:p>
    <w:p>
      <w:pPr>
        <w:pStyle w:val="body_letter"/>
      </w:pPr>
      <w:r>
        <w:rPr>
          <w:rFonts w:ascii="Arial" w:hAnsi="Arial"/>
          <w:b/>
          <w:color w:val="000000"/>
          <w:sz w:val="19"/>
        </w:rPr>
        <w:t>Regulatory burden</w:t>
      </w:r>
    </w:p>
    <w:p>
      <w:pPr>
        <w:pStyle w:val="ListBullet"/>
      </w:pPr>
      <w:r>
        <w:rPr>
          <w:rFonts w:ascii="Arial" w:hAnsi="Arial"/>
          <w:b/>
          <w:color w:val="000000"/>
          <w:sz w:val="19"/>
        </w:rPr>
        <w:t>ASIC targets regulatory clutter with digital and guidance overhaul</w:t>
      </w:r>
      <w:r>
        <w:rPr>
          <w:rFonts w:ascii="Arial" w:hAnsi="Arial"/>
          <w:color w:val="000000"/>
          <w:sz w:val="19"/>
        </w:rPr>
        <w:t xml:space="preserve"> — </w:t>
      </w:r>
      <w:r>
        <w:rPr>
          <w:rFonts w:ascii="Arial" w:hAnsi="Arial"/>
          <w:color w:val="000000"/>
          <w:sz w:val="19"/>
        </w:rPr>
        <w:t>ASIC has launched a regulatory simplification program to consolidate guidance, retire outdated instruments and digitise interactions to reduce compliance burden on regulated entities.</w:t>
      </w:r>
    </w:p>
    <w:p>
      <w:pPr>
        <w:pStyle w:val="ListBullet"/>
      </w:pPr>
      <w:r>
        <w:rPr>
          <w:rFonts w:ascii="Arial" w:hAnsi="Arial"/>
          <w:b/>
          <w:color w:val="000000"/>
          <w:sz w:val="19"/>
        </w:rPr>
        <w:t>ASIC eases regulatory burden through simplification measures</w:t>
      </w:r>
      <w:r>
        <w:rPr>
          <w:rFonts w:ascii="Arial" w:hAnsi="Arial"/>
          <w:color w:val="000000"/>
          <w:sz w:val="19"/>
        </w:rPr>
        <w:t xml:space="preserve"> — </w:t>
      </w:r>
      <w:r>
        <w:rPr>
          <w:rFonts w:ascii="Arial" w:hAnsi="Arial"/>
          <w:color w:val="000000"/>
          <w:sz w:val="19"/>
        </w:rPr>
        <w:t>ASIC has confirmed further regulatory relief measures aimed at streamlining obligations for small business and licensees as part of its broader simplification agenda.</w:t>
      </w:r>
      <w:r>
        <w:rPr>
          <w:rFonts w:ascii="Arial" w:hAnsi="Arial"/>
          <w:color w:val="000000"/>
          <w:sz w:val="19"/>
        </w:rPr>
        <w:t xml:space="preserve"> (</w:t>
      </w:r>
      <w:hyperlink r:id="rId37">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Federal Budget 2026-27 health, aged care and disability snapshot</w:t>
      </w:r>
      <w:r>
        <w:rPr>
          <w:rFonts w:ascii="Arial" w:hAnsi="Arial"/>
          <w:color w:val="000000"/>
          <w:sz w:val="19"/>
        </w:rPr>
        <w:t xml:space="preserve"> — </w:t>
      </w:r>
      <w:r>
        <w:rPr>
          <w:rFonts w:ascii="Arial" w:hAnsi="Arial"/>
          <w:color w:val="000000"/>
          <w:sz w:val="19"/>
        </w:rPr>
        <w:t>The 2026-27 Federal Budget reshapes regulatory settings across health, aged care, disability and life sciences, with significant NDIS savings and sector reform measures.</w:t>
      </w:r>
    </w:p>
    <w:p>
      <w:pPr>
        <w:pStyle w:val="ListBullet"/>
      </w:pPr>
      <w:r>
        <w:rPr>
          <w:rFonts w:ascii="Arial" w:hAnsi="Arial"/>
          <w:b/>
          <w:color w:val="000000"/>
          <w:sz w:val="19"/>
        </w:rPr>
        <w:t>WA overhauls regulation of renewable energy projects</w:t>
      </w:r>
      <w:r>
        <w:rPr>
          <w:rFonts w:ascii="Arial" w:hAnsi="Arial"/>
          <w:color w:val="000000"/>
          <w:sz w:val="19"/>
        </w:rPr>
        <w:t xml:space="preserve"> — </w:t>
      </w:r>
      <w:r>
        <w:rPr>
          <w:rFonts w:ascii="Arial" w:hAnsi="Arial"/>
          <w:color w:val="000000"/>
          <w:sz w:val="19"/>
        </w:rPr>
        <w:t>The WA Government has announced major reforms to streamline approvals and consolidate regulatory pathways for renewable energy projects to accelerate the energy transition.</w:t>
      </w:r>
      <w:r>
        <w:rPr>
          <w:rFonts w:ascii="Arial" w:hAnsi="Arial"/>
          <w:color w:val="000000"/>
          <w:sz w:val="19"/>
        </w:rPr>
        <w:t xml:space="preserve"> (</w:t>
      </w:r>
      <w:hyperlink r:id="rId38">
        <w:r>
          <w:rPr>
            <w:rFonts w:ascii="Arial" w:hAnsi="Arial" w:cs="Arial"/>
            <w:color w:val="0000FF"/>
            <w:sz w:val="19"/>
            <w:szCs w:val="19"/>
            <w:u w:val="single"/>
          </w:rPr>
          <w:t xml:space="preserve">Read more</w:t>
        </w:r>
      </w:hyperlink>
      <w:r>
        <w:rPr>
          <w:rFonts w:ascii="Arial" w:hAnsi="Arial"/>
          <w:color w:val="000000"/>
          <w:sz w:val="19"/>
        </w:rPr>
        <w:t>)</w:t>
      </w:r>
    </w:p>
    <w:p>
      <w:pPr>
        <w:pStyle w:val="subheading_letter"/>
      </w:pPr>
      <w:r>
        <w:rPr>
          <w:rFonts w:ascii="Arial" w:hAnsi="Arial"/>
          <w:b/>
          <w:color w:val="76D2FF"/>
          <w:sz w:val="21"/>
        </w:rPr>
        <w:t>Training, conferences, webinars &amp; in-person sessions</w:t>
      </w:r>
    </w:p>
    <w:p>
      <w:pPr>
        <w:pStyle w:val="ListBullet"/>
      </w:pPr>
      <w:r>
        <w:rPr>
          <w:rFonts w:ascii="Arial" w:hAnsi="Arial"/>
          <w:b/>
          <w:color w:val="000000"/>
          <w:sz w:val="19"/>
        </w:rPr>
        <w:t>AICD Boards &amp; Regulators Lunch — Sydney</w:t>
      </w:r>
      <w:r>
        <w:rPr>
          <w:rFonts w:ascii="Arial" w:hAnsi="Arial"/>
          <w:color w:val="000000"/>
          <w:sz w:val="19"/>
        </w:rPr>
        <w:t xml:space="preserve"> — </w:t>
      </w:r>
      <w:r>
        <w:rPr>
          <w:rFonts w:ascii="Arial" w:hAnsi="Arial"/>
          <w:color w:val="000000"/>
          <w:sz w:val="19"/>
        </w:rPr>
        <w:t>22 May 2026 — AICD · Sydney</w:t>
      </w:r>
    </w:p>
    <w:p>
      <w:pPr>
        <w:pStyle w:val="ListBullet"/>
      </w:pPr>
      <w:r>
        <w:rPr>
          <w:rFonts w:ascii="Arial" w:hAnsi="Arial"/>
          <w:b/>
          <w:color w:val="000000"/>
          <w:sz w:val="19"/>
        </w:rPr>
        <w:t>All Actuaries Summit 2026</w:t>
      </w:r>
      <w:r>
        <w:rPr>
          <w:rFonts w:ascii="Arial" w:hAnsi="Arial"/>
          <w:color w:val="000000"/>
          <w:sz w:val="19"/>
        </w:rPr>
        <w:t xml:space="preserve"> — </w:t>
      </w:r>
      <w:r>
        <w:rPr>
          <w:rFonts w:ascii="Arial" w:hAnsi="Arial"/>
          <w:color w:val="000000"/>
          <w:sz w:val="19"/>
        </w:rPr>
        <w:t>27 May 2026 — APRA · Online</w:t>
      </w:r>
      <w:r>
        <w:rPr>
          <w:rFonts w:ascii="Arial" w:hAnsi="Arial"/>
          <w:color w:val="000000"/>
          <w:sz w:val="19"/>
        </w:rPr>
        <w:t xml:space="preserve"> (</w:t>
      </w:r>
      <w:hyperlink r:id="rId39">
        <w:r>
          <w:rPr>
            <w:rFonts w:ascii="Arial" w:hAnsi="Arial" w:cs="Arial"/>
            <w:color w:val="0000FF"/>
            <w:sz w:val="19"/>
            <w:szCs w:val="19"/>
            <w:u w:val="single"/>
          </w:rPr>
          <w:t xml:space="preserve">Register</w:t>
        </w:r>
      </w:hyperlink>
      <w:r>
        <w:rPr>
          <w:rFonts w:ascii="Arial" w:hAnsi="Arial"/>
          <w:color w:val="000000"/>
          <w:sz w:val="19"/>
        </w:rPr>
        <w:t>)</w:t>
      </w:r>
    </w:p>
    <w:p>
      <w:pPr>
        <w:pStyle w:val="ListBullet"/>
      </w:pPr>
      <w:r>
        <w:rPr>
          <w:rFonts w:ascii="Arial" w:hAnsi="Arial"/>
          <w:b/>
          <w:color w:val="000000"/>
          <w:sz w:val="19"/>
        </w:rPr>
        <w:t>VIC Cyber Regulator Industry Briefing</w:t>
      </w:r>
      <w:r>
        <w:rPr>
          <w:rFonts w:ascii="Arial" w:hAnsi="Arial"/>
          <w:color w:val="000000"/>
          <w:sz w:val="19"/>
        </w:rPr>
        <w:t xml:space="preserve"> — </w:t>
      </w:r>
      <w:r>
        <w:rPr>
          <w:rFonts w:ascii="Arial" w:hAnsi="Arial"/>
          <w:color w:val="000000"/>
          <w:sz w:val="19"/>
        </w:rPr>
        <w:t>04 Jun 2026 — Office of the Victorian Information Commissioner · Melbourne</w:t>
      </w:r>
    </w:p>
    <w:p>
      <w:pPr>
        <w:pStyle w:val="ListBullet"/>
      </w:pPr>
      <w:r>
        <w:rPr>
          <w:rFonts w:ascii="Arial" w:hAnsi="Arial"/>
          <w:b/>
          <w:color w:val="000000"/>
          <w:sz w:val="19"/>
        </w:rPr>
        <w:t>APRA Financial Risk &amp; Resilience Practitioners Roundtable — Q3</w:t>
      </w:r>
      <w:r>
        <w:rPr>
          <w:rFonts w:ascii="Arial" w:hAnsi="Arial"/>
          <w:color w:val="000000"/>
          <w:sz w:val="19"/>
        </w:rPr>
        <w:t xml:space="preserve"> — </w:t>
      </w:r>
      <w:r>
        <w:rPr>
          <w:rFonts w:ascii="Arial" w:hAnsi="Arial"/>
          <w:color w:val="000000"/>
          <w:sz w:val="19"/>
        </w:rPr>
        <w:t>12 Jun 2026 — APRA · Online</w:t>
      </w:r>
    </w:p>
    <w:p>
      <w:pPr>
        <w:pStyle w:val="ListBullet"/>
      </w:pPr>
      <w:r>
        <w:rPr>
          <w:rFonts w:ascii="Arial" w:hAnsi="Arial"/>
          <w:b/>
          <w:color w:val="000000"/>
          <w:sz w:val="19"/>
        </w:rPr>
        <w:t>2026 AFR Insurance Summit</w:t>
      </w:r>
      <w:r>
        <w:rPr>
          <w:rFonts w:ascii="Arial" w:hAnsi="Arial"/>
          <w:color w:val="000000"/>
          <w:sz w:val="19"/>
        </w:rPr>
        <w:t xml:space="preserve"> — </w:t>
      </w:r>
      <w:r>
        <w:rPr>
          <w:rFonts w:ascii="Arial" w:hAnsi="Arial"/>
          <w:color w:val="000000"/>
          <w:sz w:val="19"/>
        </w:rPr>
        <w:t>16 Jun 2026 — APRA · Online</w:t>
      </w:r>
      <w:r>
        <w:rPr>
          <w:rFonts w:ascii="Arial" w:hAnsi="Arial"/>
          <w:color w:val="000000"/>
          <w:sz w:val="19"/>
        </w:rPr>
        <w:t xml:space="preserve"> (</w:t>
      </w:r>
      <w:hyperlink r:id="rId40">
        <w:r>
          <w:rPr>
            <w:rFonts w:ascii="Arial" w:hAnsi="Arial" w:cs="Arial"/>
            <w:color w:val="0000FF"/>
            <w:sz w:val="19"/>
            <w:szCs w:val="19"/>
            <w:u w:val="single"/>
          </w:rPr>
          <w:t xml:space="preserve">Register</w:t>
        </w:r>
      </w:hyperlink>
      <w:r>
        <w:rPr>
          <w:rFonts w:ascii="Arial" w:hAnsi="Arial"/>
          <w:color w:val="000000"/>
          <w:sz w:val="19"/>
        </w:rPr>
        <w:t>)</w:t>
      </w:r>
    </w:p>
    <w:p>
      <w:pPr>
        <w:pStyle w:val="ListBullet"/>
      </w:pPr>
      <w:r>
        <w:rPr>
          <w:rFonts w:ascii="Arial" w:hAnsi="Arial"/>
          <w:b/>
          <w:color w:val="000000"/>
          <w:sz w:val="19"/>
        </w:rPr>
        <w:t>ABA Banking Conference</w:t>
      </w:r>
      <w:r>
        <w:rPr>
          <w:rFonts w:ascii="Arial" w:hAnsi="Arial"/>
          <w:color w:val="000000"/>
          <w:sz w:val="19"/>
        </w:rPr>
        <w:t xml:space="preserve"> — </w:t>
      </w:r>
      <w:r>
        <w:rPr>
          <w:rFonts w:ascii="Arial" w:hAnsi="Arial"/>
          <w:color w:val="000000"/>
          <w:sz w:val="19"/>
        </w:rPr>
        <w:t>17 Jun 2026 — APRA · Online</w:t>
      </w:r>
      <w:r>
        <w:rPr>
          <w:rFonts w:ascii="Arial" w:hAnsi="Arial"/>
          <w:color w:val="000000"/>
          <w:sz w:val="19"/>
        </w:rPr>
        <w:t xml:space="preserve"> (</w:t>
      </w:r>
      <w:hyperlink r:id="rId41">
        <w:r>
          <w:rPr>
            <w:rFonts w:ascii="Arial" w:hAnsi="Arial" w:cs="Arial"/>
            <w:color w:val="0000FF"/>
            <w:sz w:val="19"/>
            <w:szCs w:val="19"/>
            <w:u w:val="single"/>
          </w:rPr>
          <w:t xml:space="preserve">Register</w:t>
        </w:r>
      </w:hyperlink>
      <w:r>
        <w:rPr>
          <w:rFonts w:ascii="Arial" w:hAnsi="Arial"/>
          <w:color w:val="000000"/>
          <w:sz w:val="19"/>
        </w:rPr>
        <w: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417"/>
        <w:gridCol w:w="7937"/>
      </w:tblGrid>
      <w:tr>
        <w:tc>
          <w:tcPr>
            <w:tcW w:type="dxa" w:w="1417"/>
          </w:tcPr>
          <w:p>
            <w:pPr>
              <w:spacing w:after="0"/>
            </w:pPr>
            <w:r>
              <w:drawing>
                <wp:inline xmlns:a="http://schemas.openxmlformats.org/drawingml/2006/main" xmlns:pic="http://schemas.openxmlformats.org/drawingml/2006/picture">
                  <wp:extent cx="619200" cy="760494"/>
                  <wp:docPr id="2" name="Picture 2"/>
                  <wp:cNvGraphicFramePr>
                    <a:graphicFrameLocks noChangeAspect="1"/>
                  </wp:cNvGraphicFramePr>
                  <a:graphic>
                    <a:graphicData uri="http://schemas.openxmlformats.org/drawingml/2006/picture">
                      <pic:pic>
                        <pic:nvPicPr>
                          <pic:cNvPr id="0" name="signature-adam.png"/>
                          <pic:cNvPicPr/>
                        </pic:nvPicPr>
                        <pic:blipFill>
                          <a:blip r:embed="rId42"/>
                          <a:stretch>
                            <a:fillRect/>
                          </a:stretch>
                        </pic:blipFill>
                        <pic:spPr>
                          <a:xfrm>
                            <a:off x="0" y="0"/>
                            <a:ext cx="619200" cy="760494"/>
                          </a:xfrm>
                          <a:prstGeom prst="rect"/>
                        </pic:spPr>
                      </pic:pic>
                    </a:graphicData>
                  </a:graphic>
                </wp:inline>
              </w:drawing>
            </w:r>
          </w:p>
        </w:tc>
        <w:tc>
          <w:tcPr>
            <w:tcW w:type="dxa" w:w="7937"/>
          </w:tcPr>
          <w:p>
            <w:pPr>
              <w:spacing w:after="0" w:line="240" w:lineRule="auto"/>
            </w:pPr>
            <w:r>
              <w:rPr>
                <w:rFonts w:ascii="Arial" w:hAnsi="Arial"/>
                <w:b/>
                <w:color w:val="000000"/>
                <w:sz w:val="20"/>
              </w:rPr>
              <w:t>Adam Mason-Jefferies</w:t>
            </w:r>
          </w:p>
          <w:p>
            <w:pPr>
              <w:spacing w:after="0" w:line="240" w:lineRule="auto"/>
            </w:pPr>
            <w:r>
              <w:rPr>
                <w:rFonts w:ascii="Arial" w:hAnsi="Arial"/>
                <w:i/>
                <w:color w:val="666666"/>
                <w:sz w:val="18"/>
              </w:rPr>
              <w:t>Director</w:t>
            </w:r>
          </w:p>
          <w:p>
            <w:pPr>
              <w:spacing w:after="0" w:line="240" w:lineRule="auto"/>
            </w:pPr>
            <w:r>
              <w:rPr>
                <w:rFonts w:ascii="Arial" w:hAnsi="Arial"/>
                <w:color w:val="666666"/>
                <w:sz w:val="18"/>
              </w:rPr>
              <w:t>Regulatory Transformation Community of Practice</w:t>
            </w:r>
          </w:p>
        </w:tc>
      </w:tr>
    </w:tbl>
    <w:p>
      <w:pPr>
        <w:spacing w:after="0" w:line="240" w:lineRule="auto"/>
      </w:pPr>
      <w:r>
        <w:rPr>
          <w:rFonts w:ascii="Arial" w:hAnsi="Arial"/>
          <w:b/>
          <w:color w:val="666666"/>
          <w:sz w:val="16"/>
        </w:rPr>
        <w:t>For internal use only.</w:t>
      </w:r>
    </w:p>
    <w:p>
      <w:pPr>
        <w:spacing w:after="0" w:line="240" w:lineRule="auto"/>
      </w:pPr>
      <w:r>
        <w:rPr>
          <w:rFonts w:ascii="Arial" w:hAnsi="Arial"/>
          <w:color w:val="666666"/>
          <w:sz w:val="16"/>
        </w:rPr>
        <w:t>© 2026 KPMG, an Australian partnership and a member firm of the KPMG global organisation of independent member firms affiliated with KPMG International Limited, a private English company limited by guarantee. All rights reserved.</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00338D"/>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00338D"/>
      <w:sz w:val="32"/>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Arial" w:hAnsi="Arial"/>
      <w:b/>
      <w:bCs/>
      <w:color w:val="00338D"/>
      <w:sz w:val="28"/>
    </w:rPr>
  </w:style>
  <w:style w:type="paragraph" w:styleId="Heading4">
    <w:name w:val="heading 4"/>
    <w:basedOn w:val="Normal"/>
    <w:next w:val="Normal"/>
    <w:link w:val="Heading4Char"/>
    <w:uiPriority w:val="9"/>
    <w:semiHidden/>
    <w:unhideWhenUsed/>
    <w:qFormat/>
    <w:rsid w:val="00FC693F"/>
    <w:pPr>
      <w:keepNext/>
      <w:keepLines/>
      <w:spacing w:before="160" w:after="120"/>
      <w:outlineLvl w:val="3"/>
    </w:pPr>
    <w:rPr>
      <w:rFonts w:asciiTheme="majorHAnsi" w:eastAsiaTheme="majorEastAsia" w:hAnsiTheme="majorHAnsi" w:cstheme="majorBidi" w:ascii="Arial" w:hAnsi="Arial"/>
      <w:b/>
      <w:bCs/>
      <w:i/>
      <w:iCs/>
      <w:color w:val="00338D"/>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_letter">
    <w:name w:val="body_letter"/>
    <w:basedOn w:val="Normal"/>
    <w:pPr>
      <w:spacing w:line="240" w:lineRule="auto" w:before="0" w:after="120"/>
      <w:ind w:firstLine="0"/>
    </w:pPr>
    <w:rPr>
      <w:rFonts w:ascii="Arial" w:hAnsi="Arial"/>
      <w:b w:val="0"/>
      <w:i w:val="0"/>
      <w:color w:val="000000"/>
      <w:sz w:val="19"/>
    </w:rPr>
  </w:style>
  <w:style w:type="paragraph" w:customStyle="1" w:styleId="subheading_letter">
    <w:name w:val="subheading_letter"/>
    <w:basedOn w:val="Normal"/>
    <w:pPr>
      <w:spacing w:before="160" w:after="80" w:line="240" w:lineRule="auto"/>
    </w:pPr>
    <w:rPr>
      <w:rFonts w:ascii="Arial" w:hAnsi="Arial"/>
      <w:b/>
      <w:i w:val="0"/>
      <w:color w:val="76D2FF"/>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www.esafety.gov.au/newsroom/media-releases/esafety-takes-action-against-another-major-nudify-service-for-failing-to-protect-australian-children" TargetMode="External"/><Relationship Id="rId11" Type="http://schemas.openxmlformats.org/officeDocument/2006/relationships/hyperlink" Target="https://www.capitalbrief.com/briefing/former-xinja-bank-chair-faces-apra-ban-over-undisclosed-investor-agreements-01747262-5270-4bd8-8059-f5fd65a5252f/" TargetMode="External"/><Relationship Id="rId12" Type="http://schemas.openxmlformats.org/officeDocument/2006/relationships/hyperlink" Target="https://thelimbic.com/acnc-strips-racp-president-elect-of-board-role/" TargetMode="External"/><Relationship Id="rId13" Type="http://schemas.openxmlformats.org/officeDocument/2006/relationships/hyperlink" Target="https://www.theguardian.com/australia-news/2026/may/20/australians-with-downs-syndrome-among-those-to-suffer-most-from-proposed-ndis-cuts-government-analysis-says" TargetMode="External"/><Relationship Id="rId14" Type="http://schemas.openxmlformats.org/officeDocument/2006/relationships/hyperlink" Target="https://www.afp.gov.au/news-centre/media-release/fiji-police-force-and-afp-open-pacific-focused-crime-summit-combat" TargetMode="External"/><Relationship Id="rId15" Type="http://schemas.openxmlformats.org/officeDocument/2006/relationships/hyperlink" Target="https://m.economictimes.com/nri/study/australia-freezes-new-overseas-student-provider-registrations-for-12-months/amp_articleshow/131192914.cms" TargetMode="External"/><Relationship Id="rId16" Type="http://schemas.openxmlformats.org/officeDocument/2006/relationships/hyperlink" Target="https://www.asic.gov.au/regulatory-resources/find-a-document/reports/rep-830-regulatory-simplification-progress-report/" TargetMode="External"/><Relationship Id="rId17" Type="http://schemas.openxmlformats.org/officeDocument/2006/relationships/hyperlink" Target="https://www.esafety.gov.au/newsroom/media-releases/national-leaders-unite-to-tackle-online-harm-in-australian-sport" TargetMode="External"/><Relationship Id="rId18" Type="http://schemas.openxmlformats.org/officeDocument/2006/relationships/hyperlink" Target="https://www.claytonutz.com/insights/2026/may/new-app-guidance-means-you-should-consider-checking-your-information-collection-practices-now" TargetMode="External"/><Relationship Id="rId19" Type="http://schemas.openxmlformats.org/officeDocument/2006/relationships/hyperlink" Target="https://www.themandarin.com.au/313206-asic-auditor-crackdown-annual-statements/" TargetMode="External"/><Relationship Id="rId20" Type="http://schemas.openxmlformats.org/officeDocument/2006/relationships/hyperlink" Target="https://www.themandarin.com.au/313218-auditor-casts-eye-over-devious-40-year-lottery-deal/" TargetMode="External"/><Relationship Id="rId21" Type="http://schemas.openxmlformats.org/officeDocument/2006/relationships/hyperlink" Target="https://www.acma.gov.au/resources-telco-customers-and-consumer-advocates" TargetMode="External"/><Relationship Id="rId22" Type="http://schemas.openxmlformats.org/officeDocument/2006/relationships/hyperlink" Target="https://www.themandarin.com.au/" TargetMode="External"/><Relationship Id="rId23" Type="http://schemas.openxmlformats.org/officeDocument/2006/relationships/hyperlink" Target="https://www.epa.vic.gov.au/" TargetMode="External"/><Relationship Id="rId24" Type="http://schemas.openxmlformats.org/officeDocument/2006/relationships/hyperlink" Target="https://www.tac.vic.gov.au/" TargetMode="External"/><Relationship Id="rId25" Type="http://schemas.openxmlformats.org/officeDocument/2006/relationships/hyperlink" Target="https://www.theguardian.com/australia-news" TargetMode="External"/><Relationship Id="rId26" Type="http://schemas.openxmlformats.org/officeDocument/2006/relationships/hyperlink" Target="https://www.acnc.gov.au/" TargetMode="External"/><Relationship Id="rId27" Type="http://schemas.openxmlformats.org/officeDocument/2006/relationships/hyperlink" Target="https://www.lexology.com/" TargetMode="External"/><Relationship Id="rId28" Type="http://schemas.openxmlformats.org/officeDocument/2006/relationships/hyperlink" Target="https://wastemanagementreview.com.au/" TargetMode="External"/><Relationship Id="rId29" Type="http://schemas.openxmlformats.org/officeDocument/2006/relationships/hyperlink" Target="https://www.austrac.gov.au/new-and-media/news/austrac-releases-updated-risk-snapshot-australias-financial-crime-landscape" TargetMode="External"/><Relationship Id="rId30" Type="http://schemas.openxmlformats.org/officeDocument/2006/relationships/hyperlink" Target="https://clubmanagement.com.au/austrac-to-investigate-tabcorps-aml-ctf-compliance/" TargetMode="External"/><Relationship Id="rId31" Type="http://schemas.openxmlformats.org/officeDocument/2006/relationships/hyperlink" Target="https://lsj.com.au/articles/finfluencers-warned-by-regulator-whats-next-in-asics-crackdown/" TargetMode="External"/><Relationship Id="rId32" Type="http://schemas.openxmlformats.org/officeDocument/2006/relationships/hyperlink" Target="https://www.governmentnews.com.au/new-national-counter-terror-role/" TargetMode="External"/><Relationship Id="rId33" Type="http://schemas.openxmlformats.org/officeDocument/2006/relationships/hyperlink" Target="https://www.corrs.com.au/insights/ai-governance-asic-and-apra-letters-to-industry-on-emerging-ai-risks" TargetMode="External"/><Relationship Id="rId34" Type="http://schemas.openxmlformats.org/officeDocument/2006/relationships/hyperlink" Target="https://www.oaic.gov.au/engage-with-us/consultations/consultation-on-guidance-for-transparency-in-automated-decision-making" TargetMode="External"/><Relationship Id="rId35" Type="http://schemas.openxmlformats.org/officeDocument/2006/relationships/hyperlink" Target="https://www.itnews.com.au/news/gov-to-sustain-key-tech-programs-with_new-billions-625811" TargetMode="External"/><Relationship Id="rId36" Type="http://schemas.openxmlformats.org/officeDocument/2006/relationships/hyperlink" Target="https://www.wgea.gov.au/about/governance/AI-transparency-statement" TargetMode="External"/><Relationship Id="rId37" Type="http://schemas.openxmlformats.org/officeDocument/2006/relationships/hyperlink" Target="https://www.miragenews.com/asic-eases-regulatory-burden-1675821/" TargetMode="External"/><Relationship Id="rId38" Type="http://schemas.openxmlformats.org/officeDocument/2006/relationships/hyperlink" Target="https://www.ashurst.com/en/insights/big-changes-for-regulation-of-wa-renewable-energy-projects/" TargetMode="External"/><Relationship Id="rId39" Type="http://schemas.openxmlformats.org/officeDocument/2006/relationships/hyperlink" Target="https://www.apra.gov.au/events/all-actuaries-summit-2026" TargetMode="External"/><Relationship Id="rId40" Type="http://schemas.openxmlformats.org/officeDocument/2006/relationships/hyperlink" Target="https://www.apra.gov.au/events/2026-afr-insurance-summit" TargetMode="External"/><Relationship Id="rId41" Type="http://schemas.openxmlformats.org/officeDocument/2006/relationships/hyperlink" Target="https://www.apra.gov.au/events/aba-banking-conference" TargetMode="External"/><Relationship Id="rId4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