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</w:pPr>
      <w:r>
        <w:drawing>
          <wp:inline xmlns:a="http://schemas.openxmlformats.org/drawingml/2006/main" xmlns:pic="http://schemas.openxmlformats.org/drawingml/2006/picture">
            <wp:extent cx="4615200" cy="24835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ro-bann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15200" cy="24835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KPMG Regulatory Transformation Fortnightly Brief — 3–16 May 2026</w:t>
      </w:r>
    </w:p>
    <w:p>
      <w:pPr>
        <w:pStyle w:val="body_letter"/>
      </w:pPr>
      <w:r>
        <w:rPr>
          <w:rFonts w:ascii="Arial" w:hAnsi="Arial"/>
          <w:i/>
          <w:color w:val="666666"/>
          <w:sz w:val="19"/>
        </w:rPr>
        <w:t>Regulatory Transformation Community of Practice — Fortnightly Brief</w:t>
      </w:r>
    </w:p>
    <w:p>
      <w:pPr>
        <w:pStyle w:val="body_letter"/>
      </w:pPr>
      <w:r>
        <w:rPr>
          <w:rFonts w:ascii="Arial" w:hAnsi="Arial"/>
          <w:color w:val="666666"/>
          <w:sz w:val="19"/>
        </w:rPr>
        <w:t>16 May 2026</w:t>
      </w:r>
    </w:p>
    <w:p>
      <w:pPr>
        <w:pStyle w:val="subheading_letter"/>
      </w:pPr>
      <w:r>
        <w:rPr>
          <w:rFonts w:ascii="Arial" w:hAnsi="Arial"/>
          <w:b/>
          <w:color w:val="76D2FF"/>
          <w:sz w:val="21"/>
        </w:rPr>
        <w:t>Key messages from Adam</w:t>
      </w:r>
    </w:p>
    <w:p>
      <w:pPr>
        <w:pStyle w:val="body_letter"/>
      </w:pPr>
      <w:r>
        <w:rPr>
          <w:rFonts w:ascii="Arial" w:hAnsi="Arial"/>
          <w:i/>
          <w:color w:val="666666"/>
          <w:sz w:val="19"/>
        </w:rPr>
        <w:t>[edit before send] — Adam's 3-sentence key messages will prefill from the dashboard synthesis on the next fortnightly run. Type your replacement here.</w:t>
      </w:r>
    </w:p>
    <w:p>
      <w:pPr>
        <w:pStyle w:val="subheading_letter"/>
      </w:pPr>
      <w:r>
        <w:rPr>
          <w:rFonts w:ascii="Arial" w:hAnsi="Arial"/>
          <w:b/>
          <w:color w:val="76D2FF"/>
          <w:sz w:val="21"/>
        </w:rPr>
        <w:t>Regulators in the news (this fortnight)</w:t>
      </w:r>
    </w:p>
    <w:p>
      <w:pPr>
        <w:pStyle w:val="body_letter"/>
      </w:pPr>
      <w:r>
        <w:rPr>
          <w:rFonts w:ascii="Arial" w:hAnsi="Arial"/>
          <w:i/>
          <w:color w:val="666666"/>
          <w:sz w:val="19"/>
        </w:rPr>
        <w:t>No regulator-in-news signal this fortnight — see Themes below.</w:t>
      </w:r>
    </w:p>
    <w:p>
      <w:pPr>
        <w:pStyle w:val="subheading_letter"/>
      </w:pPr>
      <w:r>
        <w:rPr>
          <w:rFonts w:ascii="Arial" w:hAnsi="Arial"/>
          <w:b/>
          <w:color w:val="76D2FF"/>
          <w:sz w:val="21"/>
        </w:rPr>
        <w:t>Our clients in the news</w:t>
      </w:r>
    </w:p>
    <w:p>
      <w:pPr>
        <w:pStyle w:val="body_letter"/>
      </w:pPr>
      <w:r>
        <w:rPr>
          <w:rFonts w:ascii="Arial" w:hAnsi="Arial"/>
          <w:i/>
          <w:color w:val="666666"/>
          <w:sz w:val="19"/>
        </w:rPr>
        <w:t>No client-in-news signal this fortnight across any jurisdiction.</w:t>
      </w:r>
    </w:p>
    <w:p>
      <w:pPr>
        <w:pStyle w:val="subheading_letter"/>
      </w:pPr>
      <w:r>
        <w:rPr>
          <w:rFonts w:ascii="Arial" w:hAnsi="Arial"/>
          <w:b/>
          <w:color w:val="76D2FF"/>
          <w:sz w:val="21"/>
        </w:rPr>
        <w:t>Regulatory Transformation: navigating emerging risks, driving AI adoption and reducing regulatory burden</w:t>
      </w:r>
    </w:p>
    <w:p>
      <w:pPr>
        <w:pStyle w:val="body_letter"/>
      </w:pPr>
      <w:r>
        <w:rPr>
          <w:rFonts w:ascii="Arial" w:hAnsi="Arial"/>
          <w:b w:val="0"/>
          <w:color w:val="000000"/>
          <w:sz w:val="19"/>
        </w:rPr>
        <w:t>Regulators are facing a shifting operating environment as technology, markets, environmental pressures and societal expectations evolve faster than traditional regulatory frameworks. Fragmented data and limited intelligence continue to make risk prioritisation difficult.</w:t>
      </w:r>
    </w:p>
    <w:p>
      <w:pPr>
        <w:pStyle w:val="body_letter"/>
      </w:pPr>
      <w:r>
        <w:rPr>
          <w:rFonts w:ascii="Arial" w:hAnsi="Arial"/>
          <w:b w:val="0"/>
          <w:color w:val="000000"/>
          <w:sz w:val="19"/>
        </w:rPr>
        <w:t>There is a growing opportunity to use advanced analytics to better target regulatory effort. Many regulators are still working to integrate data across systems, uplift analytical capability and embed insights into everyday decision-making.</w:t>
      </w:r>
    </w:p>
    <w:p>
      <w:pPr>
        <w:pStyle w:val="body_letter"/>
      </w:pPr>
      <w:r>
        <w:rPr>
          <w:rFonts w:ascii="Arial" w:hAnsi="Arial"/>
          <w:b w:val="0"/>
          <w:color w:val="000000"/>
          <w:sz w:val="19"/>
        </w:rPr>
        <w:t>AI adoption is also becoming a core regulatory transformation issue. Regulators are seeking to balance opportunities for automation and improved risk identification with the need to manage governance, transparency, bias, legal risk, privacy and public confidence.</w:t>
      </w:r>
    </w:p>
    <w:p>
      <w:pPr>
        <w:pStyle w:val="body_letter"/>
      </w:pPr>
      <w:r>
        <w:rPr>
          <w:rFonts w:ascii="Arial" w:hAnsi="Arial"/>
          <w:b w:val="0"/>
          <w:color w:val="000000"/>
          <w:sz w:val="19"/>
        </w:rPr>
        <w:t>At the same time, governments are under pressure to reduce red tape, make faster decisions and manage fiscal constraints. This is driving interest in regulatory consolidation, shared-service models and more consistent approaches to regulatory delivery, while maintaining fairness and strong outcomes.</w:t>
      </w:r>
    </w:p>
    <w:p>
      <w:pPr>
        <w:pStyle w:val="body_letter"/>
      </w:pPr>
      <w:r>
        <w:rPr>
          <w:rFonts w:ascii="Arial" w:hAnsi="Arial"/>
          <w:b/>
          <w:color w:val="000000"/>
          <w:sz w:val="19"/>
        </w:rPr>
        <w:t>Emerging risks</w:t>
      </w:r>
    </w:p>
    <w:p>
      <w:pPr>
        <w:pStyle w:val="body_letter"/>
      </w:pPr>
      <w:r>
        <w:rPr>
          <w:rFonts w:ascii="Arial" w:hAnsi="Arial"/>
          <w:i/>
          <w:color w:val="666666"/>
          <w:sz w:val="19"/>
        </w:rPr>
        <w:t>No emerging risks signal this fortnight.</w:t>
      </w:r>
    </w:p>
    <w:p>
      <w:pPr>
        <w:pStyle w:val="body_letter"/>
      </w:pPr>
      <w:r>
        <w:rPr>
          <w:rFonts w:ascii="Arial" w:hAnsi="Arial"/>
          <w:b/>
          <w:color w:val="000000"/>
          <w:sz w:val="19"/>
        </w:rPr>
        <w:t>AI adoption</w:t>
      </w:r>
    </w:p>
    <w:p>
      <w:pPr>
        <w:pStyle w:val="body_letter"/>
      </w:pPr>
      <w:r>
        <w:rPr>
          <w:rFonts w:ascii="Arial" w:hAnsi="Arial"/>
          <w:i/>
          <w:color w:val="666666"/>
          <w:sz w:val="19"/>
        </w:rPr>
        <w:t>No ai adoption signal this fortnight.</w:t>
      </w:r>
    </w:p>
    <w:p>
      <w:pPr>
        <w:pStyle w:val="body_letter"/>
      </w:pPr>
      <w:r>
        <w:rPr>
          <w:rFonts w:ascii="Arial" w:hAnsi="Arial"/>
          <w:b/>
          <w:color w:val="000000"/>
          <w:sz w:val="19"/>
        </w:rPr>
        <w:t>Regulatory burden</w:t>
      </w:r>
    </w:p>
    <w:p>
      <w:pPr>
        <w:pStyle w:val="body_letter"/>
      </w:pPr>
      <w:r>
        <w:rPr>
          <w:rFonts w:ascii="Arial" w:hAnsi="Arial"/>
          <w:i/>
          <w:color w:val="666666"/>
          <w:sz w:val="19"/>
        </w:rPr>
        <w:t>No regulatory burden signal this fortnight.</w:t>
      </w:r>
    </w:p>
    <w:p>
      <w:pPr>
        <w:pStyle w:val="subheading_letter"/>
      </w:pPr>
      <w:r>
        <w:rPr>
          <w:rFonts w:ascii="Arial" w:hAnsi="Arial"/>
          <w:b/>
          <w:color w:val="76D2FF"/>
          <w:sz w:val="21"/>
        </w:rPr>
        <w:t>Training, conferences, webinars &amp; in-person sessions</w:t>
      </w:r>
    </w:p>
    <w:p>
      <w:pPr>
        <w:pStyle w:val="ListBullet"/>
      </w:pPr>
      <w:r>
        <w:rPr>
          <w:rFonts w:ascii="Arial" w:hAnsi="Arial"/>
          <w:b/>
          <w:color w:val="000000"/>
          <w:sz w:val="19"/>
        </w:rPr>
        <w:t>AICD Boards &amp; Regulators Lunch — Sydney</w:t>
      </w:r>
      <w:r>
        <w:rPr>
          <w:rFonts w:ascii="Arial" w:hAnsi="Arial"/>
          <w:color w:val="000000"/>
          <w:sz w:val="19"/>
        </w:rPr>
        <w:t xml:space="preserve"> — </w:t>
      </w:r>
      <w:r>
        <w:rPr>
          <w:rFonts w:ascii="Arial" w:hAnsi="Arial"/>
          <w:color w:val="000000"/>
          <w:sz w:val="19"/>
        </w:rPr>
        <w:t>22 May 2026 — AICD · Sydney</w:t>
      </w:r>
    </w:p>
    <w:p>
      <w:pPr>
        <w:pStyle w:val="ListBullet"/>
      </w:pPr>
      <w:r>
        <w:rPr>
          <w:rFonts w:ascii="Arial" w:hAnsi="Arial"/>
          <w:b/>
          <w:color w:val="000000"/>
          <w:sz w:val="19"/>
        </w:rPr>
        <w:t>All Actuaries Summit 2026</w:t>
      </w:r>
      <w:r>
        <w:rPr>
          <w:rFonts w:ascii="Arial" w:hAnsi="Arial"/>
          <w:color w:val="000000"/>
          <w:sz w:val="19"/>
        </w:rPr>
        <w:t xml:space="preserve"> — </w:t>
      </w:r>
      <w:r>
        <w:rPr>
          <w:rFonts w:ascii="Arial" w:hAnsi="Arial"/>
          <w:color w:val="000000"/>
          <w:sz w:val="19"/>
        </w:rPr>
        <w:t>27 May 2026 — APRA · Online</w:t>
      </w:r>
      <w:r>
        <w:rPr>
          <w:rFonts w:ascii="Arial" w:hAnsi="Arial"/>
          <w:color w:val="000000"/>
          <w:sz w:val="19"/>
        </w:rPr>
        <w:t xml:space="preserve"> (</w:t>
      </w:r>
      <w:hyperlink r:id="rId10">
        <w:r>
          <w:rPr>
            <w:rFonts w:ascii="Arial" w:hAnsi="Arial" w:cs="Arial"/>
            <w:color w:val="0000FF"/>
            <w:sz w:val="19"/>
            <w:szCs w:val="19"/>
            <w:u w:val="single"/>
          </w:rPr>
          <w:t xml:space="preserve">Register</w:t>
        </w:r>
      </w:hyperlink>
      <w:r>
        <w:rPr>
          <w:rFonts w:ascii="Arial" w:hAnsi="Arial"/>
          <w:color w:val="000000"/>
          <w:sz w:val="19"/>
        </w:rPr>
        <w:t>)</w:t>
      </w:r>
    </w:p>
    <w:p>
      <w:pPr>
        <w:pStyle w:val="ListBullet"/>
      </w:pPr>
      <w:r>
        <w:rPr>
          <w:rFonts w:ascii="Arial" w:hAnsi="Arial"/>
          <w:b/>
          <w:color w:val="000000"/>
          <w:sz w:val="19"/>
        </w:rPr>
        <w:t>VIC Cyber Regulator Industry Briefing</w:t>
      </w:r>
      <w:r>
        <w:rPr>
          <w:rFonts w:ascii="Arial" w:hAnsi="Arial"/>
          <w:color w:val="000000"/>
          <w:sz w:val="19"/>
        </w:rPr>
        <w:t xml:space="preserve"> — </w:t>
      </w:r>
      <w:r>
        <w:rPr>
          <w:rFonts w:ascii="Arial" w:hAnsi="Arial"/>
          <w:color w:val="000000"/>
          <w:sz w:val="19"/>
        </w:rPr>
        <w:t>04 Jun 2026 — Office of the Victorian Information Commissioner · Melbourne</w:t>
      </w:r>
    </w:p>
    <w:p>
      <w:pPr>
        <w:pStyle w:val="ListBullet"/>
      </w:pPr>
      <w:r>
        <w:rPr>
          <w:rFonts w:ascii="Arial" w:hAnsi="Arial"/>
          <w:b/>
          <w:color w:val="000000"/>
          <w:sz w:val="19"/>
        </w:rPr>
        <w:t>APRA Financial Risk &amp; Resilience Practitioners Roundtable — Q3</w:t>
      </w:r>
      <w:r>
        <w:rPr>
          <w:rFonts w:ascii="Arial" w:hAnsi="Arial"/>
          <w:color w:val="000000"/>
          <w:sz w:val="19"/>
        </w:rPr>
        <w:t xml:space="preserve"> — </w:t>
      </w:r>
      <w:r>
        <w:rPr>
          <w:rFonts w:ascii="Arial" w:hAnsi="Arial"/>
          <w:color w:val="000000"/>
          <w:sz w:val="19"/>
        </w:rPr>
        <w:t>12 Jun 2026 — APRA · Online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417"/>
        <w:gridCol w:w="7937"/>
      </w:tblGrid>
      <w:tr>
        <w:tc>
          <w:tcPr>
            <w:tcW w:type="dxa" w:w="1417"/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619200" cy="76049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gnature-ad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9200" cy="76049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937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000000"/>
                <w:sz w:val="20"/>
              </w:rPr>
              <w:t>Adam Mason-Jefferies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i/>
                <w:color w:val="666666"/>
                <w:sz w:val="18"/>
              </w:rPr>
              <w:t>Director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color w:val="666666"/>
                <w:sz w:val="18"/>
              </w:rPr>
              <w:t>Regulatory Transformation Community of Practice</w:t>
            </w:r>
          </w:p>
        </w:tc>
      </w:tr>
    </w:tbl>
    <w:p>
      <w:pPr>
        <w:spacing w:after="0" w:line="240" w:lineRule="auto"/>
      </w:pPr>
      <w:r>
        <w:rPr>
          <w:rFonts w:ascii="Arial" w:hAnsi="Arial"/>
          <w:b/>
          <w:color w:val="666666"/>
          <w:sz w:val="16"/>
        </w:rPr>
        <w:t>For internal use only.</w:t>
      </w:r>
    </w:p>
    <w:p>
      <w:pPr>
        <w:spacing w:after="0" w:line="240" w:lineRule="auto"/>
      </w:pPr>
      <w:r>
        <w:rPr>
          <w:rFonts w:ascii="Arial" w:hAnsi="Arial"/>
          <w:color w:val="666666"/>
          <w:sz w:val="16"/>
        </w:rPr>
        <w:t>© 2026 KPMG, an Australian partnership and a member firm of the KPMG global organisation of independent member firms affiliated with KPMG International Limited, a private English company limited by guarantee. All rights reserved.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Arial" w:hAnsi="Arial"/>
      <w:b/>
      <w:bCs/>
      <w:color w:val="00338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" w:hAnsi="Arial"/>
      <w:b/>
      <w:bCs/>
      <w:color w:val="00338D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/>
      <w:outlineLvl w:val="2"/>
    </w:pPr>
    <w:rPr>
      <w:rFonts w:asciiTheme="majorHAnsi" w:eastAsiaTheme="majorEastAsia" w:hAnsiTheme="majorHAnsi" w:cstheme="majorBidi" w:ascii="Arial" w:hAnsi="Arial"/>
      <w:b/>
      <w:bCs/>
      <w:color w:val="00338D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 w:after="120"/>
      <w:outlineLvl w:val="3"/>
    </w:pPr>
    <w:rPr>
      <w:rFonts w:asciiTheme="majorHAnsi" w:eastAsiaTheme="majorEastAsia" w:hAnsiTheme="majorHAnsi" w:cstheme="majorBidi" w:ascii="Arial" w:hAnsi="Arial"/>
      <w:b/>
      <w:bCs/>
      <w:i/>
      <w:iCs/>
      <w:color w:val="00338D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ody_letter">
    <w:name w:val="body_letter"/>
    <w:basedOn w:val="Normal"/>
    <w:pPr>
      <w:spacing w:line="240" w:lineRule="auto" w:before="0" w:after="120"/>
      <w:ind w:firstLine="0"/>
    </w:pPr>
    <w:rPr>
      <w:rFonts w:ascii="Arial" w:hAnsi="Arial"/>
      <w:b w:val="0"/>
      <w:i w:val="0"/>
      <w:color w:val="000000"/>
      <w:sz w:val="19"/>
    </w:rPr>
  </w:style>
  <w:style w:type="paragraph" w:customStyle="1" w:styleId="subheading_letter">
    <w:name w:val="subheading_letter"/>
    <w:basedOn w:val="Normal"/>
    <w:pPr>
      <w:spacing w:before="160" w:after="80" w:line="240" w:lineRule="auto"/>
    </w:pPr>
    <w:rPr>
      <w:rFonts w:ascii="Arial" w:hAnsi="Arial"/>
      <w:b/>
      <w:i w:val="0"/>
      <w:color w:val="76D2FF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yperlink" Target="https://www.apra.gov.au/events/all-actuaries-summit-2026" TargetMode="External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